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076" w:rsidRPr="00700076" w:rsidRDefault="00700076" w:rsidP="00700076">
      <w:pPr>
        <w:jc w:val="center"/>
        <w:rPr>
          <w:rFonts w:cs="Times New Roman"/>
          <w:szCs w:val="24"/>
        </w:rPr>
      </w:pPr>
      <w:r w:rsidRPr="001A06DD">
        <w:rPr>
          <w:rFonts w:cs="Times New Roman"/>
          <w:szCs w:val="24"/>
        </w:rPr>
        <w:t>Según</w:t>
      </w:r>
      <w:r w:rsidRPr="00221991">
        <w:rPr>
          <w:rFonts w:cs="Times New Roman"/>
          <w:szCs w:val="24"/>
        </w:rPr>
        <w:t xml:space="preserve"> </w:t>
      </w:r>
      <w:r w:rsidR="00C14951">
        <w:rPr>
          <w:rFonts w:cs="Times New Roman"/>
          <w:szCs w:val="24"/>
        </w:rPr>
        <w:t xml:space="preserve">los resultados del </w:t>
      </w:r>
      <w:r w:rsidR="00C2260B">
        <w:rPr>
          <w:rFonts w:cs="Times New Roman"/>
          <w:szCs w:val="24"/>
        </w:rPr>
        <w:t xml:space="preserve">quinto </w:t>
      </w:r>
      <w:r w:rsidRPr="00221991">
        <w:rPr>
          <w:rFonts w:cs="Times New Roman"/>
          <w:szCs w:val="24"/>
        </w:rPr>
        <w:t>informe ‘</w:t>
      </w:r>
      <w:r w:rsidRPr="00221991">
        <w:rPr>
          <w:rFonts w:cs="Times New Roman"/>
          <w:i/>
          <w:szCs w:val="24"/>
        </w:rPr>
        <w:t>Transparencia, el mejor eslogan’</w:t>
      </w:r>
    </w:p>
    <w:p w:rsidR="00080F0B" w:rsidRPr="00080F0B" w:rsidRDefault="00551A5B" w:rsidP="00080F0B">
      <w:pPr>
        <w:rPr>
          <w:b/>
          <w:sz w:val="32"/>
        </w:rPr>
      </w:pPr>
      <w:r>
        <w:rPr>
          <w:b/>
          <w:sz w:val="32"/>
        </w:rPr>
        <w:t>Ningún partido político</w:t>
      </w:r>
      <w:r w:rsidR="00C2260B">
        <w:rPr>
          <w:b/>
          <w:sz w:val="32"/>
        </w:rPr>
        <w:t xml:space="preserve"> transparente,</w:t>
      </w:r>
      <w:r>
        <w:rPr>
          <w:b/>
          <w:sz w:val="32"/>
        </w:rPr>
        <w:t xml:space="preserve"> según el ranking de </w:t>
      </w:r>
      <w:r w:rsidR="00C2260B">
        <w:rPr>
          <w:b/>
          <w:sz w:val="32"/>
        </w:rPr>
        <w:t>Fundación Compromiso y Transparencia</w:t>
      </w:r>
    </w:p>
    <w:p w:rsidR="00146575" w:rsidRPr="00DA492C" w:rsidRDefault="00476045" w:rsidP="00A4159F">
      <w:pPr>
        <w:pStyle w:val="ListParagraph"/>
        <w:numPr>
          <w:ilvl w:val="0"/>
          <w:numId w:val="1"/>
        </w:numPr>
        <w:rPr>
          <w:i/>
          <w:sz w:val="20"/>
        </w:rPr>
      </w:pPr>
      <w:r w:rsidRPr="00DA492C">
        <w:rPr>
          <w:i/>
          <w:sz w:val="20"/>
        </w:rPr>
        <w:t>Solo FAES, Fundación Alfonso Peral y Fundación Sabino Arana</w:t>
      </w:r>
      <w:r w:rsidR="00146575" w:rsidRPr="00DA492C">
        <w:rPr>
          <w:i/>
          <w:sz w:val="20"/>
        </w:rPr>
        <w:t xml:space="preserve"> alcanzan el calificativo de </w:t>
      </w:r>
      <w:r w:rsidRPr="00DA492C">
        <w:rPr>
          <w:i/>
          <w:sz w:val="20"/>
        </w:rPr>
        <w:t xml:space="preserve">fundaciones políticas </w:t>
      </w:r>
      <w:r w:rsidR="00DA492C">
        <w:rPr>
          <w:i/>
          <w:sz w:val="20"/>
        </w:rPr>
        <w:t>‘</w:t>
      </w:r>
      <w:r w:rsidR="00146575" w:rsidRPr="00DA492C">
        <w:rPr>
          <w:i/>
          <w:sz w:val="20"/>
        </w:rPr>
        <w:t>transparentes</w:t>
      </w:r>
      <w:r w:rsidR="00DA492C">
        <w:rPr>
          <w:i/>
          <w:sz w:val="20"/>
        </w:rPr>
        <w:t>’</w:t>
      </w:r>
    </w:p>
    <w:p w:rsidR="00146575" w:rsidRDefault="00146575" w:rsidP="00146575">
      <w:pPr>
        <w:pStyle w:val="ListParagraph"/>
        <w:rPr>
          <w:i/>
          <w:sz w:val="20"/>
        </w:rPr>
      </w:pPr>
    </w:p>
    <w:p w:rsidR="00700076" w:rsidRDefault="008D4EF5" w:rsidP="00146575">
      <w:pPr>
        <w:pStyle w:val="ListParagraph"/>
        <w:numPr>
          <w:ilvl w:val="0"/>
          <w:numId w:val="1"/>
        </w:numPr>
        <w:rPr>
          <w:i/>
          <w:sz w:val="20"/>
        </w:rPr>
      </w:pPr>
      <w:r w:rsidRPr="00146575">
        <w:rPr>
          <w:i/>
          <w:sz w:val="20"/>
        </w:rPr>
        <w:t>E</w:t>
      </w:r>
      <w:r w:rsidR="00883134" w:rsidRPr="00146575">
        <w:rPr>
          <w:i/>
          <w:sz w:val="20"/>
        </w:rPr>
        <w:t>l</w:t>
      </w:r>
      <w:r w:rsidRPr="00146575">
        <w:rPr>
          <w:i/>
          <w:sz w:val="20"/>
        </w:rPr>
        <w:t xml:space="preserve"> informe incluye por primera vez el análisis de los</w:t>
      </w:r>
      <w:r w:rsidR="00C2260B" w:rsidRPr="00146575">
        <w:rPr>
          <w:i/>
          <w:sz w:val="20"/>
        </w:rPr>
        <w:t xml:space="preserve"> nuevos</w:t>
      </w:r>
      <w:r w:rsidRPr="00146575">
        <w:rPr>
          <w:i/>
          <w:sz w:val="20"/>
        </w:rPr>
        <w:t xml:space="preserve"> partidos políticos </w:t>
      </w:r>
      <w:r w:rsidR="00476045">
        <w:rPr>
          <w:i/>
          <w:sz w:val="20"/>
        </w:rPr>
        <w:t xml:space="preserve">que </w:t>
      </w:r>
      <w:r w:rsidR="00476045" w:rsidRPr="00DA492C">
        <w:rPr>
          <w:i/>
          <w:sz w:val="20"/>
        </w:rPr>
        <w:t>obtuvieron</w:t>
      </w:r>
      <w:r w:rsidR="00C2260B" w:rsidRPr="00DA492C">
        <w:rPr>
          <w:i/>
          <w:sz w:val="20"/>
        </w:rPr>
        <w:t xml:space="preserve"> </w:t>
      </w:r>
      <w:r w:rsidR="00DA492C">
        <w:rPr>
          <w:i/>
          <w:sz w:val="20"/>
        </w:rPr>
        <w:t xml:space="preserve">escaños </w:t>
      </w:r>
      <w:r w:rsidR="00C2260B" w:rsidRPr="00146575">
        <w:rPr>
          <w:i/>
          <w:sz w:val="20"/>
        </w:rPr>
        <w:t>en las elecciones del 20 de diciembre</w:t>
      </w:r>
    </w:p>
    <w:p w:rsidR="00476045" w:rsidRPr="00476045" w:rsidRDefault="00476045" w:rsidP="00476045">
      <w:pPr>
        <w:pStyle w:val="ListParagraph"/>
        <w:rPr>
          <w:i/>
          <w:sz w:val="20"/>
        </w:rPr>
      </w:pPr>
    </w:p>
    <w:p w:rsidR="00476045" w:rsidRPr="00DA492C" w:rsidRDefault="00476045" w:rsidP="00146575">
      <w:pPr>
        <w:pStyle w:val="ListParagraph"/>
        <w:numPr>
          <w:ilvl w:val="0"/>
          <w:numId w:val="1"/>
        </w:numPr>
        <w:rPr>
          <w:i/>
          <w:sz w:val="20"/>
        </w:rPr>
      </w:pPr>
      <w:r w:rsidRPr="00DA492C">
        <w:rPr>
          <w:i/>
          <w:sz w:val="20"/>
        </w:rPr>
        <w:t>Ningún partido político informa en sus programas de la cuantificación económica de sus propuestas y de la</w:t>
      </w:r>
      <w:r w:rsidR="00922A6E" w:rsidRPr="00DA492C">
        <w:rPr>
          <w:i/>
          <w:sz w:val="20"/>
        </w:rPr>
        <w:t>s reformas legales que requieren</w:t>
      </w:r>
    </w:p>
    <w:p w:rsidR="00146575" w:rsidRPr="00146575" w:rsidRDefault="00146575" w:rsidP="00146575">
      <w:pPr>
        <w:pStyle w:val="ListParagraph"/>
        <w:rPr>
          <w:i/>
          <w:sz w:val="20"/>
        </w:rPr>
      </w:pPr>
    </w:p>
    <w:p w:rsidR="00A4159F" w:rsidRPr="00387337" w:rsidRDefault="00700076" w:rsidP="00062C18">
      <w:pPr>
        <w:jc w:val="both"/>
        <w:rPr>
          <w:sz w:val="20"/>
        </w:rPr>
      </w:pPr>
      <w:r w:rsidRPr="00387337">
        <w:rPr>
          <w:b/>
          <w:sz w:val="20"/>
        </w:rPr>
        <w:t>Madrid, 2</w:t>
      </w:r>
      <w:r w:rsidR="008D4EF5" w:rsidRPr="00387337">
        <w:rPr>
          <w:b/>
          <w:sz w:val="20"/>
        </w:rPr>
        <w:t>2</w:t>
      </w:r>
      <w:r w:rsidRPr="00387337">
        <w:rPr>
          <w:b/>
          <w:sz w:val="20"/>
        </w:rPr>
        <w:t xml:space="preserve"> de </w:t>
      </w:r>
      <w:r w:rsidR="00A4159F" w:rsidRPr="00387337">
        <w:rPr>
          <w:b/>
          <w:sz w:val="20"/>
        </w:rPr>
        <w:t>junio</w:t>
      </w:r>
      <w:r w:rsidRPr="00387337">
        <w:rPr>
          <w:b/>
          <w:sz w:val="20"/>
        </w:rPr>
        <w:t xml:space="preserve"> de 201</w:t>
      </w:r>
      <w:r w:rsidR="00A4159F" w:rsidRPr="00387337">
        <w:rPr>
          <w:b/>
          <w:sz w:val="20"/>
        </w:rPr>
        <w:t>6</w:t>
      </w:r>
      <w:r w:rsidRPr="00387337">
        <w:rPr>
          <w:b/>
          <w:sz w:val="20"/>
        </w:rPr>
        <w:t>.</w:t>
      </w:r>
      <w:r w:rsidRPr="00387337">
        <w:rPr>
          <w:sz w:val="20"/>
        </w:rPr>
        <w:t xml:space="preserve"> El </w:t>
      </w:r>
      <w:r w:rsidR="00A4159F" w:rsidRPr="00387337">
        <w:rPr>
          <w:sz w:val="20"/>
        </w:rPr>
        <w:t>quinto</w:t>
      </w:r>
      <w:r w:rsidR="00387337">
        <w:rPr>
          <w:sz w:val="20"/>
        </w:rPr>
        <w:t xml:space="preserve"> informe </w:t>
      </w:r>
      <w:r w:rsidRPr="00387337">
        <w:rPr>
          <w:i/>
          <w:sz w:val="20"/>
        </w:rPr>
        <w:t>Transparencia, el mejor eslogan</w:t>
      </w:r>
      <w:r w:rsidR="00566CE7" w:rsidRPr="00387337">
        <w:rPr>
          <w:i/>
          <w:sz w:val="20"/>
        </w:rPr>
        <w:t xml:space="preserve"> 201</w:t>
      </w:r>
      <w:r w:rsidR="00A4159F" w:rsidRPr="00387337">
        <w:rPr>
          <w:i/>
          <w:sz w:val="20"/>
        </w:rPr>
        <w:t>5</w:t>
      </w:r>
      <w:r w:rsidRPr="00387337">
        <w:rPr>
          <w:sz w:val="20"/>
        </w:rPr>
        <w:t>, elaborado por la Fundación Compromiso y Transparencia</w:t>
      </w:r>
      <w:r w:rsidR="00054951" w:rsidRPr="00387337">
        <w:rPr>
          <w:sz w:val="20"/>
        </w:rPr>
        <w:t xml:space="preserve"> y disponible en </w:t>
      </w:r>
      <w:hyperlink r:id="rId8" w:history="1">
        <w:r w:rsidR="00054951" w:rsidRPr="00387337">
          <w:rPr>
            <w:rStyle w:val="Hyperlink"/>
            <w:sz w:val="20"/>
          </w:rPr>
          <w:t>www.compromisoytransparencia.com</w:t>
        </w:r>
      </w:hyperlink>
      <w:r w:rsidRPr="00387337">
        <w:rPr>
          <w:sz w:val="20"/>
        </w:rPr>
        <w:t xml:space="preserve">, desprende que </w:t>
      </w:r>
      <w:r w:rsidR="00A4159F" w:rsidRPr="00387337">
        <w:rPr>
          <w:sz w:val="20"/>
        </w:rPr>
        <w:t xml:space="preserve">ningún partido </w:t>
      </w:r>
      <w:r w:rsidR="00542241" w:rsidRPr="00387337">
        <w:rPr>
          <w:sz w:val="20"/>
        </w:rPr>
        <w:t xml:space="preserve">político </w:t>
      </w:r>
      <w:r w:rsidR="00A4159F" w:rsidRPr="00387337">
        <w:rPr>
          <w:sz w:val="20"/>
        </w:rPr>
        <w:t xml:space="preserve">presente en el Congreso de los Diputados </w:t>
      </w:r>
      <w:r w:rsidR="00476045" w:rsidRPr="00387337">
        <w:rPr>
          <w:sz w:val="20"/>
        </w:rPr>
        <w:t xml:space="preserve">obtiene la calificación de </w:t>
      </w:r>
      <w:r w:rsidR="00476045" w:rsidRPr="00387337">
        <w:rPr>
          <w:i/>
          <w:sz w:val="20"/>
        </w:rPr>
        <w:t>transparente</w:t>
      </w:r>
      <w:r w:rsidR="00DA492C" w:rsidRPr="00387337">
        <w:rPr>
          <w:sz w:val="20"/>
        </w:rPr>
        <w:t>,</w:t>
      </w:r>
      <w:r w:rsidR="00476045" w:rsidRPr="00387337">
        <w:rPr>
          <w:sz w:val="20"/>
        </w:rPr>
        <w:t xml:space="preserve"> según los indicadores de la FCyT</w:t>
      </w:r>
      <w:r w:rsidR="00A4159F" w:rsidRPr="00387337">
        <w:rPr>
          <w:sz w:val="20"/>
        </w:rPr>
        <w:t xml:space="preserve">. </w:t>
      </w:r>
    </w:p>
    <w:p w:rsidR="00542241" w:rsidRPr="00387337" w:rsidRDefault="00A4159F" w:rsidP="00062C18">
      <w:pPr>
        <w:jc w:val="both"/>
        <w:rPr>
          <w:sz w:val="20"/>
        </w:rPr>
      </w:pPr>
      <w:r w:rsidRPr="00387337">
        <w:rPr>
          <w:sz w:val="20"/>
        </w:rPr>
        <w:t>Los cambios en el panorama político y las</w:t>
      </w:r>
      <w:r w:rsidR="00551A5B" w:rsidRPr="00387337">
        <w:rPr>
          <w:sz w:val="20"/>
        </w:rPr>
        <w:t xml:space="preserve"> nuevas</w:t>
      </w:r>
      <w:r w:rsidRPr="00387337">
        <w:rPr>
          <w:sz w:val="20"/>
        </w:rPr>
        <w:t xml:space="preserve"> exigencias de este informe han afectado </w:t>
      </w:r>
      <w:r w:rsidR="00146575" w:rsidRPr="00387337">
        <w:rPr>
          <w:sz w:val="20"/>
        </w:rPr>
        <w:t>notablemente</w:t>
      </w:r>
      <w:r w:rsidRPr="00387337">
        <w:rPr>
          <w:sz w:val="20"/>
        </w:rPr>
        <w:t xml:space="preserve"> a la transparencia del sector. Si el pasado año eran cinco las formaciones que obtenían el calificativo de transparentes, este año </w:t>
      </w:r>
      <w:r w:rsidRPr="00387337">
        <w:rPr>
          <w:b/>
          <w:sz w:val="20"/>
        </w:rPr>
        <w:t>ninguno de los partidos políticos alcanza la puntuación mínima</w:t>
      </w:r>
      <w:r w:rsidRPr="00387337">
        <w:rPr>
          <w:sz w:val="20"/>
        </w:rPr>
        <w:t xml:space="preserve"> para ese reconocimiento.</w:t>
      </w:r>
      <w:r w:rsidR="008D4EF5" w:rsidRPr="00387337">
        <w:rPr>
          <w:sz w:val="20"/>
        </w:rPr>
        <w:t xml:space="preserve"> </w:t>
      </w:r>
    </w:p>
    <w:p w:rsidR="00700076" w:rsidRPr="00387337" w:rsidRDefault="007D19EF" w:rsidP="00062C18">
      <w:pPr>
        <w:jc w:val="both"/>
        <w:rPr>
          <w:b/>
          <w:sz w:val="20"/>
        </w:rPr>
      </w:pPr>
      <w:r w:rsidRPr="00387337">
        <w:rPr>
          <w:sz w:val="20"/>
        </w:rPr>
        <w:t>Con mejores</w:t>
      </w:r>
      <w:r w:rsidR="00551A5B" w:rsidRPr="00387337">
        <w:rPr>
          <w:sz w:val="20"/>
        </w:rPr>
        <w:t xml:space="preserve"> datos, aunque insuficientes</w:t>
      </w:r>
      <w:r w:rsidRPr="00387337">
        <w:rPr>
          <w:sz w:val="20"/>
        </w:rPr>
        <w:t xml:space="preserve">, </w:t>
      </w:r>
      <w:r w:rsidR="00E244A1" w:rsidRPr="00387337">
        <w:rPr>
          <w:sz w:val="20"/>
        </w:rPr>
        <w:t xml:space="preserve">el análisis de las </w:t>
      </w:r>
      <w:r w:rsidR="00700076" w:rsidRPr="00387337">
        <w:rPr>
          <w:sz w:val="20"/>
        </w:rPr>
        <w:t>fundaciones políticas</w:t>
      </w:r>
      <w:r w:rsidR="00476045" w:rsidRPr="00387337">
        <w:rPr>
          <w:sz w:val="20"/>
        </w:rPr>
        <w:t xml:space="preserve"> refleja</w:t>
      </w:r>
      <w:r w:rsidRPr="00387337">
        <w:rPr>
          <w:sz w:val="20"/>
        </w:rPr>
        <w:t xml:space="preserve"> que </w:t>
      </w:r>
      <w:r w:rsidR="00E244A1" w:rsidRPr="00387337">
        <w:rPr>
          <w:sz w:val="20"/>
        </w:rPr>
        <w:t>tres</w:t>
      </w:r>
      <w:r w:rsidR="00700076" w:rsidRPr="00387337">
        <w:rPr>
          <w:sz w:val="20"/>
        </w:rPr>
        <w:t xml:space="preserve">, </w:t>
      </w:r>
      <w:r w:rsidR="00700076" w:rsidRPr="00387337">
        <w:rPr>
          <w:b/>
          <w:sz w:val="20"/>
        </w:rPr>
        <w:t>FAES</w:t>
      </w:r>
      <w:r w:rsidR="00D564A2" w:rsidRPr="00387337">
        <w:rPr>
          <w:b/>
          <w:sz w:val="20"/>
        </w:rPr>
        <w:t xml:space="preserve"> (PP)</w:t>
      </w:r>
      <w:r w:rsidR="00146575" w:rsidRPr="00387337">
        <w:rPr>
          <w:b/>
          <w:sz w:val="20"/>
        </w:rPr>
        <w:t>,</w:t>
      </w:r>
      <w:r w:rsidRPr="00387337">
        <w:rPr>
          <w:b/>
          <w:sz w:val="20"/>
        </w:rPr>
        <w:t xml:space="preserve"> </w:t>
      </w:r>
      <w:r w:rsidRPr="00387337">
        <w:rPr>
          <w:sz w:val="20"/>
        </w:rPr>
        <w:t>en primer lugar, seguida de</w:t>
      </w:r>
      <w:r w:rsidR="00542241" w:rsidRPr="00387337">
        <w:rPr>
          <w:sz w:val="20"/>
        </w:rPr>
        <w:t xml:space="preserve"> </w:t>
      </w:r>
      <w:r w:rsidR="00146575" w:rsidRPr="00387337">
        <w:rPr>
          <w:b/>
          <w:sz w:val="20"/>
        </w:rPr>
        <w:t xml:space="preserve">Alfonso Perales </w:t>
      </w:r>
      <w:r w:rsidRPr="00387337">
        <w:rPr>
          <w:b/>
          <w:sz w:val="20"/>
        </w:rPr>
        <w:t>(PSOE)</w:t>
      </w:r>
      <w:r w:rsidR="00146575" w:rsidRPr="00387337">
        <w:rPr>
          <w:b/>
          <w:sz w:val="20"/>
        </w:rPr>
        <w:t xml:space="preserve"> </w:t>
      </w:r>
      <w:r w:rsidR="00542241" w:rsidRPr="00387337">
        <w:rPr>
          <w:b/>
          <w:sz w:val="20"/>
        </w:rPr>
        <w:t>y Sabino Arana (PNV)</w:t>
      </w:r>
      <w:r w:rsidRPr="00387337">
        <w:rPr>
          <w:b/>
          <w:sz w:val="20"/>
        </w:rPr>
        <w:t xml:space="preserve"> </w:t>
      </w:r>
      <w:r w:rsidRPr="00387337">
        <w:rPr>
          <w:sz w:val="20"/>
        </w:rPr>
        <w:t xml:space="preserve">–segundo y </w:t>
      </w:r>
      <w:r w:rsidR="00387337">
        <w:rPr>
          <w:sz w:val="20"/>
        </w:rPr>
        <w:t>tercer puesto respectivamente-</w:t>
      </w:r>
      <w:r w:rsidR="00E244A1" w:rsidRPr="00387337">
        <w:rPr>
          <w:sz w:val="20"/>
        </w:rPr>
        <w:t>,</w:t>
      </w:r>
      <w:r w:rsidR="00D564A2" w:rsidRPr="00387337">
        <w:rPr>
          <w:sz w:val="20"/>
        </w:rPr>
        <w:t xml:space="preserve"> de las </w:t>
      </w:r>
      <w:r w:rsidRPr="00387337">
        <w:rPr>
          <w:sz w:val="20"/>
        </w:rPr>
        <w:t>41</w:t>
      </w:r>
      <w:r w:rsidR="00D564A2" w:rsidRPr="00387337">
        <w:rPr>
          <w:sz w:val="20"/>
        </w:rPr>
        <w:t xml:space="preserve"> analizadas en la muestra</w:t>
      </w:r>
      <w:r w:rsidR="0057323B" w:rsidRPr="00387337">
        <w:rPr>
          <w:sz w:val="20"/>
        </w:rPr>
        <w:t xml:space="preserve">, </w:t>
      </w:r>
      <w:r w:rsidR="00C87378" w:rsidRPr="00387337">
        <w:rPr>
          <w:sz w:val="20"/>
        </w:rPr>
        <w:t xml:space="preserve">alcanzan </w:t>
      </w:r>
      <w:r w:rsidR="00476045" w:rsidRPr="00387337">
        <w:rPr>
          <w:b/>
          <w:sz w:val="20"/>
        </w:rPr>
        <w:t xml:space="preserve">la categoría de </w:t>
      </w:r>
      <w:r w:rsidR="00476045" w:rsidRPr="00387337">
        <w:rPr>
          <w:b/>
          <w:i/>
          <w:sz w:val="20"/>
        </w:rPr>
        <w:t>transparente</w:t>
      </w:r>
      <w:r w:rsidR="00C87378" w:rsidRPr="00387337">
        <w:rPr>
          <w:b/>
          <w:i/>
          <w:sz w:val="20"/>
        </w:rPr>
        <w:t>.</w:t>
      </w:r>
    </w:p>
    <w:p w:rsidR="00551A5B" w:rsidRPr="00387337" w:rsidRDefault="00551A5B" w:rsidP="00062C18">
      <w:pPr>
        <w:jc w:val="both"/>
        <w:rPr>
          <w:sz w:val="20"/>
        </w:rPr>
      </w:pPr>
      <w:r w:rsidRPr="00387337">
        <w:rPr>
          <w:sz w:val="20"/>
        </w:rPr>
        <w:t xml:space="preserve">El informe analiza la transparencia voluntaria en la web de los partidos políticos y sus fundaciones, evaluando que publiquen online información relevante como su código ético, las retribuciones salariales, el número de afiliados, sus programas electorales, </w:t>
      </w:r>
      <w:r w:rsidR="006957F1" w:rsidRPr="00387337">
        <w:rPr>
          <w:sz w:val="20"/>
        </w:rPr>
        <w:t>informes</w:t>
      </w:r>
      <w:r w:rsidR="00C8093C" w:rsidRPr="00387337">
        <w:rPr>
          <w:sz w:val="20"/>
        </w:rPr>
        <w:t xml:space="preserve"> sobre el</w:t>
      </w:r>
      <w:r w:rsidRPr="00387337">
        <w:rPr>
          <w:sz w:val="20"/>
        </w:rPr>
        <w:t xml:space="preserve"> cumplimiento o </w:t>
      </w:r>
      <w:r w:rsidR="00C8093C" w:rsidRPr="00387337">
        <w:rPr>
          <w:sz w:val="20"/>
        </w:rPr>
        <w:t xml:space="preserve">la </w:t>
      </w:r>
      <w:r w:rsidRPr="00387337">
        <w:rPr>
          <w:sz w:val="20"/>
        </w:rPr>
        <w:t xml:space="preserve">información económica. </w:t>
      </w:r>
    </w:p>
    <w:p w:rsidR="00700076" w:rsidRPr="00387337" w:rsidRDefault="00C8093C" w:rsidP="00062C18">
      <w:pPr>
        <w:jc w:val="both"/>
        <w:rPr>
          <w:sz w:val="20"/>
        </w:rPr>
      </w:pPr>
      <w:r w:rsidRPr="00387337">
        <w:rPr>
          <w:i/>
          <w:sz w:val="20"/>
        </w:rPr>
        <w:t>Transparencia, el mejor eslogan 2015</w:t>
      </w:r>
      <w:r w:rsidR="00700076" w:rsidRPr="00387337">
        <w:rPr>
          <w:sz w:val="20"/>
        </w:rPr>
        <w:t xml:space="preserve"> </w:t>
      </w:r>
      <w:r w:rsidR="00054951" w:rsidRPr="00387337">
        <w:rPr>
          <w:sz w:val="20"/>
        </w:rPr>
        <w:t>ha sido</w:t>
      </w:r>
      <w:r w:rsidR="00700076" w:rsidRPr="00387337">
        <w:rPr>
          <w:sz w:val="20"/>
        </w:rPr>
        <w:t xml:space="preserve"> elaborado gracias a las aportaciones voluntarias de decenas de donantes </w:t>
      </w:r>
      <w:r w:rsidR="009F14F4" w:rsidRPr="00387337">
        <w:rPr>
          <w:sz w:val="20"/>
        </w:rPr>
        <w:t xml:space="preserve">que </w:t>
      </w:r>
      <w:r w:rsidR="00251200" w:rsidRPr="00387337">
        <w:rPr>
          <w:sz w:val="20"/>
        </w:rPr>
        <w:t>están</w:t>
      </w:r>
      <w:r w:rsidR="009F14F4" w:rsidRPr="00387337">
        <w:rPr>
          <w:sz w:val="20"/>
        </w:rPr>
        <w:t xml:space="preserve"> </w:t>
      </w:r>
      <w:r w:rsidR="009F14F4" w:rsidRPr="00387337">
        <w:rPr>
          <w:b/>
          <w:sz w:val="20"/>
        </w:rPr>
        <w:t>apoya</w:t>
      </w:r>
      <w:r w:rsidR="00251200" w:rsidRPr="00387337">
        <w:rPr>
          <w:b/>
          <w:sz w:val="20"/>
        </w:rPr>
        <w:t>n</w:t>
      </w:r>
      <w:r w:rsidR="009F14F4" w:rsidRPr="00387337">
        <w:rPr>
          <w:b/>
          <w:sz w:val="20"/>
        </w:rPr>
        <w:t xml:space="preserve">do la causa </w:t>
      </w:r>
      <w:r w:rsidR="00700076" w:rsidRPr="00387337">
        <w:rPr>
          <w:b/>
          <w:sz w:val="20"/>
        </w:rPr>
        <w:t xml:space="preserve">a través de </w:t>
      </w:r>
      <w:r w:rsidR="00251200" w:rsidRPr="00387337">
        <w:rPr>
          <w:b/>
          <w:sz w:val="20"/>
        </w:rPr>
        <w:t>un</w:t>
      </w:r>
      <w:r w:rsidR="00700076" w:rsidRPr="00387337">
        <w:rPr>
          <w:b/>
          <w:sz w:val="20"/>
        </w:rPr>
        <w:t xml:space="preserve">a </w:t>
      </w:r>
      <w:r w:rsidR="00700076" w:rsidRPr="00C43753">
        <w:rPr>
          <w:b/>
          <w:sz w:val="20"/>
        </w:rPr>
        <w:t xml:space="preserve">campaña de </w:t>
      </w:r>
      <w:r w:rsidR="00700076" w:rsidRPr="00C43753">
        <w:rPr>
          <w:b/>
          <w:i/>
          <w:sz w:val="20"/>
        </w:rPr>
        <w:t>crowdfunding</w:t>
      </w:r>
      <w:r w:rsidR="00700076" w:rsidRPr="00387337">
        <w:rPr>
          <w:b/>
          <w:sz w:val="20"/>
        </w:rPr>
        <w:t xml:space="preserve"> </w:t>
      </w:r>
      <w:r w:rsidR="00C87378" w:rsidRPr="00387337">
        <w:rPr>
          <w:sz w:val="20"/>
        </w:rPr>
        <w:t xml:space="preserve">puesta en marcha </w:t>
      </w:r>
      <w:r w:rsidR="009F14F4" w:rsidRPr="00387337">
        <w:rPr>
          <w:sz w:val="20"/>
        </w:rPr>
        <w:t xml:space="preserve">en la plataforma </w:t>
      </w:r>
      <w:r w:rsidR="007D19EF" w:rsidRPr="00387337">
        <w:rPr>
          <w:sz w:val="20"/>
        </w:rPr>
        <w:t>Goteo</w:t>
      </w:r>
      <w:r w:rsidR="00C43753">
        <w:rPr>
          <w:sz w:val="20"/>
        </w:rPr>
        <w:t xml:space="preserve"> </w:t>
      </w:r>
      <w:r w:rsidR="00C43753" w:rsidRPr="00387337">
        <w:rPr>
          <w:sz w:val="20"/>
        </w:rPr>
        <w:t>(</w:t>
      </w:r>
      <w:hyperlink r:id="rId9" w:history="1">
        <w:r w:rsidR="00C43753" w:rsidRPr="00387337">
          <w:rPr>
            <w:rStyle w:val="Hyperlink"/>
            <w:sz w:val="20"/>
          </w:rPr>
          <w:t>http://goteo.cc/transparencia</w:t>
        </w:r>
      </w:hyperlink>
      <w:r w:rsidR="00C43753" w:rsidRPr="00387337">
        <w:rPr>
          <w:sz w:val="20"/>
        </w:rPr>
        <w:t>)</w:t>
      </w:r>
      <w:r w:rsidR="007D19EF" w:rsidRPr="00387337">
        <w:rPr>
          <w:sz w:val="20"/>
        </w:rPr>
        <w:t xml:space="preserve">: </w:t>
      </w:r>
      <w:hyperlink r:id="rId10" w:history="1">
        <w:r w:rsidR="007D19EF" w:rsidRPr="00387337">
          <w:rPr>
            <w:rStyle w:val="Hyperlink"/>
            <w:sz w:val="20"/>
          </w:rPr>
          <w:t>¡Por unos partidos políticos transparentes!</w:t>
        </w:r>
      </w:hyperlink>
      <w:r w:rsidR="009A7E4A" w:rsidRPr="00387337">
        <w:rPr>
          <w:sz w:val="20"/>
        </w:rPr>
        <w:t xml:space="preserve"> </w:t>
      </w:r>
    </w:p>
    <w:p w:rsidR="00E244A1" w:rsidRPr="00387337" w:rsidRDefault="006957F1" w:rsidP="00062C18">
      <w:pPr>
        <w:jc w:val="both"/>
        <w:rPr>
          <w:b/>
          <w:sz w:val="20"/>
        </w:rPr>
      </w:pPr>
      <w:r w:rsidRPr="00387337">
        <w:rPr>
          <w:b/>
          <w:sz w:val="20"/>
        </w:rPr>
        <w:t>Nuevos partidos e indicadores</w:t>
      </w:r>
    </w:p>
    <w:p w:rsidR="00C8093C" w:rsidRPr="00387337" w:rsidRDefault="00C8093C" w:rsidP="00C8093C">
      <w:pPr>
        <w:jc w:val="both"/>
        <w:rPr>
          <w:sz w:val="20"/>
        </w:rPr>
      </w:pPr>
      <w:r w:rsidRPr="00387337">
        <w:rPr>
          <w:sz w:val="20"/>
        </w:rPr>
        <w:t xml:space="preserve">Por vez primera el documento incluye el análisis de las nuevas formaciones que han obtenido representación en el Congreso de los Disputados en la XI Legislatura. El análisis de partidos como Ahora Alto Aragón, Anova, Catalunya Sí, Ciudadanos, Eh Bildu, En Comú Podem, En Marea, Esquerda Unida, Partido Aragonés, Partido Democracia i Llibertat, Partido Socialista Catalán, Podemos y Unidad Popular-IU pone de manifiesto que el eslogan de estas </w:t>
      </w:r>
      <w:r w:rsidRPr="00387337">
        <w:rPr>
          <w:b/>
          <w:sz w:val="20"/>
        </w:rPr>
        <w:t>nueva</w:t>
      </w:r>
      <w:r w:rsidR="006957F1" w:rsidRPr="00387337">
        <w:rPr>
          <w:b/>
          <w:sz w:val="20"/>
        </w:rPr>
        <w:t xml:space="preserve">s formaciones políticas por el </w:t>
      </w:r>
      <w:r w:rsidRPr="00387337">
        <w:rPr>
          <w:b/>
          <w:i/>
          <w:sz w:val="20"/>
        </w:rPr>
        <w:t xml:space="preserve">cambio </w:t>
      </w:r>
      <w:r w:rsidRPr="00387337">
        <w:rPr>
          <w:b/>
          <w:sz w:val="20"/>
        </w:rPr>
        <w:t>no se ha traducido en un compromiso con la transparencia;</w:t>
      </w:r>
      <w:r w:rsidRPr="00387337">
        <w:rPr>
          <w:sz w:val="20"/>
        </w:rPr>
        <w:t xml:space="preserve"> la mayoría de ellas, a excepción de Ciudadanos y Podemos, se encuentran en la parte baja del ranking, con unos niveles muy bajos de cumplimiento.</w:t>
      </w:r>
    </w:p>
    <w:p w:rsidR="00C8093C" w:rsidRPr="00387337" w:rsidRDefault="00C8093C" w:rsidP="00C8093C">
      <w:pPr>
        <w:jc w:val="both"/>
        <w:rPr>
          <w:sz w:val="20"/>
        </w:rPr>
      </w:pPr>
      <w:r w:rsidRPr="00387337">
        <w:rPr>
          <w:sz w:val="20"/>
        </w:rPr>
        <w:t xml:space="preserve">Por el contrario, los partidos que han sido evaluados a lo largo de las anteriores cuatro ediciones, los llamados tradicionales, muestran unos niveles más elevados de transparencia: </w:t>
      </w:r>
      <w:r w:rsidRPr="00387337">
        <w:rPr>
          <w:b/>
          <w:sz w:val="20"/>
        </w:rPr>
        <w:t>Unión del Pueblo Navarro</w:t>
      </w:r>
      <w:r w:rsidR="002370BC" w:rsidRPr="00387337">
        <w:rPr>
          <w:b/>
          <w:sz w:val="20"/>
        </w:rPr>
        <w:t xml:space="preserve"> (UPN)</w:t>
      </w:r>
      <w:r w:rsidRPr="00387337">
        <w:rPr>
          <w:b/>
          <w:sz w:val="20"/>
        </w:rPr>
        <w:t xml:space="preserve">, </w:t>
      </w:r>
      <w:r w:rsidR="002370BC" w:rsidRPr="00387337">
        <w:rPr>
          <w:b/>
          <w:sz w:val="20"/>
        </w:rPr>
        <w:t>PSOE y Esquerra Republicana de Catalunya ocupan los tres primeros puestos del ranking,</w:t>
      </w:r>
      <w:r w:rsidR="002370BC" w:rsidRPr="00387337">
        <w:rPr>
          <w:sz w:val="20"/>
        </w:rPr>
        <w:t xml:space="preserve"> englobados en la categoría de </w:t>
      </w:r>
      <w:r w:rsidR="002370BC" w:rsidRPr="00387337">
        <w:rPr>
          <w:i/>
          <w:sz w:val="20"/>
        </w:rPr>
        <w:t>translúcidos</w:t>
      </w:r>
      <w:r w:rsidR="002370BC" w:rsidRPr="00387337">
        <w:rPr>
          <w:sz w:val="20"/>
        </w:rPr>
        <w:t>. Le siguen empatados Ciudadanos, Partido Nacionalista Vasco (PNV), Podemos, PP y Partido Socialista Catalán (PSC).</w:t>
      </w:r>
    </w:p>
    <w:p w:rsidR="00C8093C" w:rsidRPr="00387337" w:rsidRDefault="00C8093C" w:rsidP="00942D01">
      <w:pPr>
        <w:jc w:val="both"/>
        <w:rPr>
          <w:sz w:val="20"/>
        </w:rPr>
      </w:pPr>
      <w:r w:rsidRPr="00387337">
        <w:rPr>
          <w:sz w:val="20"/>
        </w:rPr>
        <w:t>A esta novedad en la mue</w:t>
      </w:r>
      <w:r w:rsidR="002370BC" w:rsidRPr="00387337">
        <w:rPr>
          <w:sz w:val="20"/>
        </w:rPr>
        <w:t>stra se une la inclusión de nuevos indicadores para la evaluación de los partidos políticos. Fundación</w:t>
      </w:r>
      <w:r w:rsidR="00476045" w:rsidRPr="00387337">
        <w:rPr>
          <w:sz w:val="20"/>
        </w:rPr>
        <w:t xml:space="preserve"> Compromiso y Transparencia exige</w:t>
      </w:r>
      <w:r w:rsidR="002370BC" w:rsidRPr="00387337">
        <w:rPr>
          <w:sz w:val="20"/>
        </w:rPr>
        <w:t xml:space="preserve"> en esta edición que </w:t>
      </w:r>
      <w:r w:rsidR="00942D01" w:rsidRPr="00387337">
        <w:rPr>
          <w:sz w:val="20"/>
        </w:rPr>
        <w:t xml:space="preserve">los partidos publiquen una </w:t>
      </w:r>
      <w:r w:rsidR="00942D01" w:rsidRPr="00387337">
        <w:rPr>
          <w:sz w:val="20"/>
        </w:rPr>
        <w:lastRenderedPageBreak/>
        <w:t>información más cualitativa respecto a sus programas electorales</w:t>
      </w:r>
      <w:r w:rsidR="00476045" w:rsidRPr="00387337">
        <w:rPr>
          <w:sz w:val="20"/>
        </w:rPr>
        <w:t>. En concreto,</w:t>
      </w:r>
      <w:r w:rsidR="00942D01" w:rsidRPr="00387337">
        <w:rPr>
          <w:sz w:val="20"/>
        </w:rPr>
        <w:t xml:space="preserve"> se </w:t>
      </w:r>
      <w:r w:rsidR="00476045" w:rsidRPr="00387337">
        <w:rPr>
          <w:sz w:val="20"/>
        </w:rPr>
        <w:t>requiere</w:t>
      </w:r>
      <w:r w:rsidR="00942D01" w:rsidRPr="00387337">
        <w:rPr>
          <w:sz w:val="20"/>
        </w:rPr>
        <w:t xml:space="preserve"> a los partidos que publiquen, </w:t>
      </w:r>
      <w:r w:rsidR="00476045" w:rsidRPr="00387337">
        <w:rPr>
          <w:b/>
          <w:sz w:val="20"/>
        </w:rPr>
        <w:t>además de las medidas</w:t>
      </w:r>
      <w:r w:rsidR="00942D01" w:rsidRPr="00387337">
        <w:rPr>
          <w:b/>
          <w:sz w:val="20"/>
        </w:rPr>
        <w:t xml:space="preserve"> propuestas</w:t>
      </w:r>
      <w:r w:rsidR="006957F1" w:rsidRPr="00387337">
        <w:rPr>
          <w:b/>
          <w:sz w:val="20"/>
        </w:rPr>
        <w:t xml:space="preserve"> en su programa</w:t>
      </w:r>
      <w:r w:rsidR="00476045" w:rsidRPr="00387337">
        <w:rPr>
          <w:b/>
          <w:sz w:val="20"/>
        </w:rPr>
        <w:t>, la</w:t>
      </w:r>
      <w:r w:rsidR="00942D01" w:rsidRPr="00387337">
        <w:rPr>
          <w:b/>
          <w:sz w:val="20"/>
        </w:rPr>
        <w:t xml:space="preserve"> cuantificación económica</w:t>
      </w:r>
      <w:r w:rsidR="00476045" w:rsidRPr="00387337">
        <w:rPr>
          <w:b/>
          <w:sz w:val="20"/>
        </w:rPr>
        <w:t xml:space="preserve"> de las mismas</w:t>
      </w:r>
      <w:r w:rsidR="00942D01" w:rsidRPr="00387337">
        <w:rPr>
          <w:b/>
          <w:sz w:val="20"/>
        </w:rPr>
        <w:t xml:space="preserve"> y la explicación de las reformas legales</w:t>
      </w:r>
      <w:r w:rsidR="00942D01" w:rsidRPr="00387337">
        <w:rPr>
          <w:sz w:val="20"/>
        </w:rPr>
        <w:t xml:space="preserve"> que habría q</w:t>
      </w:r>
      <w:r w:rsidR="00476045" w:rsidRPr="00387337">
        <w:rPr>
          <w:sz w:val="20"/>
        </w:rPr>
        <w:t>ue llevar a cabo para aplicarlas</w:t>
      </w:r>
      <w:r w:rsidR="00942D01" w:rsidRPr="00387337">
        <w:rPr>
          <w:sz w:val="20"/>
        </w:rPr>
        <w:t xml:space="preserve">. Sobre estos dos últimos puntos, ningún partido de los 22 analizados ofrece información. </w:t>
      </w:r>
    </w:p>
    <w:p w:rsidR="00942D01" w:rsidRPr="00387337" w:rsidRDefault="00942D01" w:rsidP="00942D01">
      <w:pPr>
        <w:jc w:val="both"/>
        <w:rPr>
          <w:b/>
          <w:sz w:val="20"/>
        </w:rPr>
      </w:pPr>
      <w:r w:rsidRPr="00387337">
        <w:rPr>
          <w:b/>
          <w:sz w:val="20"/>
        </w:rPr>
        <w:t>Resultados</w:t>
      </w:r>
      <w:r w:rsidR="006957F1" w:rsidRPr="00387337">
        <w:rPr>
          <w:b/>
          <w:sz w:val="20"/>
        </w:rPr>
        <w:t xml:space="preserve"> y evolución</w:t>
      </w:r>
    </w:p>
    <w:p w:rsidR="00942D01" w:rsidRPr="00387337" w:rsidRDefault="00942D01" w:rsidP="00942D01">
      <w:pPr>
        <w:jc w:val="both"/>
        <w:rPr>
          <w:sz w:val="20"/>
        </w:rPr>
      </w:pPr>
      <w:r w:rsidRPr="00387337">
        <w:rPr>
          <w:sz w:val="20"/>
        </w:rPr>
        <w:t xml:space="preserve">A pesar del retroceso que han registrado los partidos políticos sobre </w:t>
      </w:r>
      <w:r w:rsidR="001E1B5B" w:rsidRPr="00387337">
        <w:rPr>
          <w:sz w:val="20"/>
        </w:rPr>
        <w:t>el</w:t>
      </w:r>
      <w:r w:rsidRPr="00387337">
        <w:rPr>
          <w:sz w:val="20"/>
        </w:rPr>
        <w:t xml:space="preserve"> nivel de trasparencia</w:t>
      </w:r>
      <w:r w:rsidR="001E1B5B" w:rsidRPr="00387337">
        <w:rPr>
          <w:sz w:val="20"/>
        </w:rPr>
        <w:t xml:space="preserve"> en términos generales</w:t>
      </w:r>
      <w:r w:rsidRPr="00387337">
        <w:rPr>
          <w:sz w:val="20"/>
        </w:rPr>
        <w:t>, algunas cifras destacan sobre otras: el 71% ofrece información sobre su historia de</w:t>
      </w:r>
      <w:r w:rsidR="00E67075">
        <w:rPr>
          <w:sz w:val="20"/>
        </w:rPr>
        <w:t>l</w:t>
      </w:r>
      <w:r w:rsidRPr="00387337">
        <w:rPr>
          <w:sz w:val="20"/>
        </w:rPr>
        <w:t xml:space="preserve"> partido, sus ideas y valores; el 59% publica sus estatutos; </w:t>
      </w:r>
      <w:r w:rsidR="00145DEA" w:rsidRPr="00387337">
        <w:rPr>
          <w:sz w:val="20"/>
        </w:rPr>
        <w:t xml:space="preserve">la totalidad de partidos analizados ofrece canales de comunicación para sus afiliados; el 77% explica las políticas y medidas recogidas en su programa, y </w:t>
      </w:r>
      <w:r w:rsidR="00145DEA" w:rsidRPr="00387337">
        <w:rPr>
          <w:b/>
          <w:sz w:val="20"/>
        </w:rPr>
        <w:t>el 45% publica la información económica</w:t>
      </w:r>
      <w:r w:rsidR="00145DEA" w:rsidRPr="00387337">
        <w:rPr>
          <w:sz w:val="20"/>
        </w:rPr>
        <w:t xml:space="preserve"> (balance y cuentas de resultados, desglose de gastos y de impuestos).</w:t>
      </w:r>
    </w:p>
    <w:p w:rsidR="00145DEA" w:rsidRPr="00387337" w:rsidRDefault="00145DEA" w:rsidP="00942D01">
      <w:pPr>
        <w:jc w:val="both"/>
        <w:rPr>
          <w:sz w:val="20"/>
        </w:rPr>
      </w:pPr>
      <w:r w:rsidRPr="00387337">
        <w:rPr>
          <w:sz w:val="20"/>
        </w:rPr>
        <w:t xml:space="preserve">Por el contrario, destaca </w:t>
      </w:r>
      <w:r w:rsidR="001E1B5B" w:rsidRPr="00387337">
        <w:rPr>
          <w:sz w:val="20"/>
        </w:rPr>
        <w:t>negativamente</w:t>
      </w:r>
      <w:r w:rsidRPr="00387337">
        <w:rPr>
          <w:sz w:val="20"/>
        </w:rPr>
        <w:t xml:space="preserve"> que solo un 9% publique su acta fundacional, el organigrama de la formación, y las retribuciones salariales de</w:t>
      </w:r>
      <w:r w:rsidR="001E1B5B" w:rsidRPr="00387337">
        <w:rPr>
          <w:sz w:val="20"/>
        </w:rPr>
        <w:t xml:space="preserve"> los</w:t>
      </w:r>
      <w:r w:rsidRPr="00387337">
        <w:rPr>
          <w:sz w:val="20"/>
        </w:rPr>
        <w:t xml:space="preserve"> cargos electos; que un </w:t>
      </w:r>
      <w:r w:rsidR="001E1B5B" w:rsidRPr="00387337">
        <w:rPr>
          <w:sz w:val="20"/>
        </w:rPr>
        <w:t xml:space="preserve">insuficiente </w:t>
      </w:r>
      <w:r w:rsidRPr="00387337">
        <w:rPr>
          <w:sz w:val="20"/>
        </w:rPr>
        <w:t xml:space="preserve">5% </w:t>
      </w:r>
      <w:r w:rsidR="00595B76" w:rsidRPr="00387337">
        <w:rPr>
          <w:sz w:val="20"/>
        </w:rPr>
        <w:t xml:space="preserve">ofrezca el número de afiliados; </w:t>
      </w:r>
      <w:r w:rsidR="001E1B5B" w:rsidRPr="00387337">
        <w:rPr>
          <w:sz w:val="20"/>
        </w:rPr>
        <w:t xml:space="preserve">que </w:t>
      </w:r>
      <w:r w:rsidR="00595B76" w:rsidRPr="00387337">
        <w:rPr>
          <w:sz w:val="20"/>
        </w:rPr>
        <w:t>ningún partido publ</w:t>
      </w:r>
      <w:r w:rsidR="001E1B5B" w:rsidRPr="00387337">
        <w:rPr>
          <w:sz w:val="20"/>
        </w:rPr>
        <w:t>ique</w:t>
      </w:r>
      <w:r w:rsidR="00595B76" w:rsidRPr="00387337">
        <w:rPr>
          <w:sz w:val="20"/>
        </w:rPr>
        <w:t xml:space="preserve"> su informe de cumplimiento y solo un 5% el de gestión, y que </w:t>
      </w:r>
      <w:r w:rsidR="00595B76" w:rsidRPr="00387337">
        <w:rPr>
          <w:b/>
          <w:sz w:val="20"/>
        </w:rPr>
        <w:t>ningún partido audit</w:t>
      </w:r>
      <w:r w:rsidR="001E1B5B" w:rsidRPr="00387337">
        <w:rPr>
          <w:b/>
          <w:sz w:val="20"/>
        </w:rPr>
        <w:t>e</w:t>
      </w:r>
      <w:r w:rsidR="00595B76" w:rsidRPr="00387337">
        <w:rPr>
          <w:b/>
          <w:sz w:val="20"/>
        </w:rPr>
        <w:t xml:space="preserve"> sus cuentas,</w:t>
      </w:r>
      <w:r w:rsidR="00595B76" w:rsidRPr="00387337">
        <w:rPr>
          <w:sz w:val="20"/>
        </w:rPr>
        <w:t xml:space="preserve"> pese al retraso del Tribunal de Cuentas en fiscalizarlas (más de dos años).</w:t>
      </w:r>
    </w:p>
    <w:p w:rsidR="00F22E90" w:rsidRPr="00387337" w:rsidRDefault="00595B76" w:rsidP="00595B76">
      <w:pPr>
        <w:jc w:val="both"/>
        <w:rPr>
          <w:sz w:val="20"/>
        </w:rPr>
      </w:pPr>
      <w:r w:rsidRPr="00387337">
        <w:rPr>
          <w:sz w:val="20"/>
        </w:rPr>
        <w:t xml:space="preserve">Respecto a las </w:t>
      </w:r>
      <w:r w:rsidR="00F22E90" w:rsidRPr="00387337">
        <w:rPr>
          <w:sz w:val="20"/>
        </w:rPr>
        <w:t xml:space="preserve">41 </w:t>
      </w:r>
      <w:r w:rsidRPr="00387337">
        <w:rPr>
          <w:sz w:val="20"/>
        </w:rPr>
        <w:t xml:space="preserve">fundaciones analizadas en </w:t>
      </w:r>
      <w:r w:rsidRPr="00387337">
        <w:rPr>
          <w:i/>
          <w:sz w:val="20"/>
        </w:rPr>
        <w:t>Transparencia, el mejor eslogan</w:t>
      </w:r>
      <w:r w:rsidRPr="00387337">
        <w:rPr>
          <w:sz w:val="20"/>
        </w:rPr>
        <w:t xml:space="preserve">, </w:t>
      </w:r>
      <w:r w:rsidR="00F22E90" w:rsidRPr="00387337">
        <w:rPr>
          <w:b/>
          <w:sz w:val="20"/>
        </w:rPr>
        <w:t xml:space="preserve">el 40% no cuenta con página web, </w:t>
      </w:r>
      <w:r w:rsidR="00F22E90" w:rsidRPr="00387337">
        <w:rPr>
          <w:sz w:val="20"/>
        </w:rPr>
        <w:t xml:space="preserve">a pesar de que la Ley Orgánica 3/2015, de 30 de marzo, de control de la actividad económico-financiera de los </w:t>
      </w:r>
      <w:r w:rsidR="00E67075">
        <w:rPr>
          <w:sz w:val="20"/>
        </w:rPr>
        <w:t>p</w:t>
      </w:r>
      <w:r w:rsidR="00F22E90" w:rsidRPr="00387337">
        <w:rPr>
          <w:sz w:val="20"/>
        </w:rPr>
        <w:t xml:space="preserve">artidos </w:t>
      </w:r>
      <w:r w:rsidR="00E67075">
        <w:rPr>
          <w:sz w:val="20"/>
        </w:rPr>
        <w:t>p</w:t>
      </w:r>
      <w:r w:rsidR="00F22E90" w:rsidRPr="00387337">
        <w:rPr>
          <w:sz w:val="20"/>
        </w:rPr>
        <w:t>olíticos, así lo requiere: “Las fundaciones están obligadas a hacer públicas, preferentemente a través de su página web, el balance y la cuenta de resultados así como las conclu</w:t>
      </w:r>
      <w:r w:rsidR="00E67075">
        <w:rPr>
          <w:sz w:val="20"/>
        </w:rPr>
        <w:t>siones del informe de auditoría”</w:t>
      </w:r>
      <w:bookmarkStart w:id="0" w:name="_GoBack"/>
      <w:bookmarkEnd w:id="0"/>
      <w:r w:rsidR="00F22E90" w:rsidRPr="00387337">
        <w:rPr>
          <w:sz w:val="20"/>
        </w:rPr>
        <w:t>.</w:t>
      </w:r>
    </w:p>
    <w:p w:rsidR="00595B76" w:rsidRPr="00387337" w:rsidRDefault="00F22E90" w:rsidP="00F22E90">
      <w:pPr>
        <w:jc w:val="both"/>
        <w:rPr>
          <w:sz w:val="20"/>
        </w:rPr>
      </w:pPr>
      <w:r w:rsidRPr="00387337">
        <w:rPr>
          <w:sz w:val="20"/>
        </w:rPr>
        <w:t>Además, según el análisis de los datos económicos recogidos en el Informe de Fiscalización del Tribunal de Cuentas de julio de 2015, un</w:t>
      </w:r>
      <w:r w:rsidR="00595B76" w:rsidRPr="00387337">
        <w:rPr>
          <w:sz w:val="20"/>
        </w:rPr>
        <w:t xml:space="preserve"> total de 10 fundaciones no ha tenido ningún ingreso durante el ejercicio 2013 (último fiscalizado). Se trata de </w:t>
      </w:r>
      <w:r w:rsidR="00595B76" w:rsidRPr="00387337">
        <w:rPr>
          <w:b/>
          <w:sz w:val="20"/>
        </w:rPr>
        <w:t>fundaciones sin actividad alguna,</w:t>
      </w:r>
      <w:r w:rsidR="00595B76" w:rsidRPr="00387337">
        <w:rPr>
          <w:sz w:val="20"/>
        </w:rPr>
        <w:t xml:space="preserve"> que el Tribunal de Cuentas recomienda a los responsables de seis (Fundación Canaria 7 Islas, Fundación Catorce de Abril, Fundación Horacio Fernández, Fundación Idi Ezquerra, Fundación Matilde la Torre y Fundación Zabaldiak) que procedan a su extinción.</w:t>
      </w:r>
    </w:p>
    <w:p w:rsidR="00F22E90" w:rsidRPr="00387337" w:rsidRDefault="00F22E90" w:rsidP="00F22E90">
      <w:pPr>
        <w:jc w:val="both"/>
        <w:rPr>
          <w:sz w:val="20"/>
        </w:rPr>
      </w:pPr>
      <w:r w:rsidRPr="00387337">
        <w:rPr>
          <w:sz w:val="20"/>
        </w:rPr>
        <w:t>El dato positivo, aunque aún insuficiente del análisis de transparencia de fundaciones políticas es que el 27% p</w:t>
      </w:r>
      <w:r w:rsidR="00D04622" w:rsidRPr="00387337">
        <w:rPr>
          <w:sz w:val="20"/>
        </w:rPr>
        <w:t xml:space="preserve">ublica los estados financieros </w:t>
      </w:r>
      <w:r w:rsidRPr="00387337">
        <w:rPr>
          <w:sz w:val="20"/>
        </w:rPr>
        <w:t xml:space="preserve">y un 20% el informe de </w:t>
      </w:r>
      <w:r w:rsidR="00D04622" w:rsidRPr="00387337">
        <w:rPr>
          <w:sz w:val="20"/>
        </w:rPr>
        <w:t>auditoría</w:t>
      </w:r>
      <w:r w:rsidRPr="00387337">
        <w:rPr>
          <w:sz w:val="20"/>
        </w:rPr>
        <w:t xml:space="preserve">, </w:t>
      </w:r>
      <w:r w:rsidR="00D04622" w:rsidRPr="00387337">
        <w:rPr>
          <w:sz w:val="20"/>
        </w:rPr>
        <w:t>ocho y seis puntos porcentuales más que en la pasada edición.</w:t>
      </w:r>
    </w:p>
    <w:p w:rsidR="00191CD1" w:rsidRPr="00387337" w:rsidRDefault="00191CD1" w:rsidP="00700076"/>
    <w:p w:rsidR="001E23F7" w:rsidRDefault="00772F17" w:rsidP="00700076">
      <w:pPr>
        <w:rPr>
          <w:sz w:val="20"/>
        </w:rPr>
      </w:pPr>
      <w:r w:rsidRPr="00772F1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444A57" w:rsidRPr="00444A57" w:rsidRDefault="00444A57" w:rsidP="00444A57">
      <w:pPr>
        <w:jc w:val="both"/>
        <w:rPr>
          <w:b/>
          <w:color w:val="595959"/>
          <w:sz w:val="16"/>
          <w:u w:val="single"/>
        </w:rPr>
      </w:pPr>
      <w:r w:rsidRPr="00444A57">
        <w:rPr>
          <w:b/>
          <w:color w:val="595959"/>
          <w:sz w:val="16"/>
          <w:u w:val="single"/>
        </w:rPr>
        <w:t>Acerca de Fundación Compromiso y Transparencia</w:t>
      </w:r>
    </w:p>
    <w:p w:rsidR="00444A57" w:rsidRPr="00444A57" w:rsidRDefault="00444A57" w:rsidP="00444A57">
      <w:pPr>
        <w:jc w:val="both"/>
        <w:rPr>
          <w:b/>
          <w:color w:val="595959"/>
          <w:sz w:val="16"/>
          <w:u w:val="single"/>
        </w:rPr>
      </w:pPr>
      <w:r w:rsidRPr="00444A57">
        <w:rPr>
          <w:color w:val="595959"/>
          <w:sz w:val="16"/>
        </w:rPr>
        <w:t>La Fundación Compromiso y Transparencia se constituyó en el año 2007 por un grupo de profesionales procedentes del mundo de la empresa, de la academia y del sector no lucrativo con la finalidad de f</w:t>
      </w:r>
      <w:r w:rsidRPr="00444A57">
        <w:rPr>
          <w:iCs/>
          <w:color w:val="595959"/>
          <w:sz w:val="16"/>
        </w:rPr>
        <w:t xml:space="preserve">ortalecer la confianza de la sociedad en las instituciones </w:t>
      </w:r>
      <w:r w:rsidR="00D04622">
        <w:rPr>
          <w:iCs/>
          <w:color w:val="595959"/>
          <w:sz w:val="16"/>
        </w:rPr>
        <w:t xml:space="preserve">y empresas </w:t>
      </w:r>
      <w:r w:rsidR="00D04622" w:rsidRPr="00D04622">
        <w:rPr>
          <w:iCs/>
          <w:color w:val="595959"/>
          <w:sz w:val="16"/>
        </w:rPr>
        <w:t>promoviendo la transparencia, el buen gobierno y el compromiso social</w:t>
      </w:r>
      <w:r w:rsidRPr="00444A57">
        <w:rPr>
          <w:color w:val="595959"/>
          <w:sz w:val="16"/>
        </w:rPr>
        <w:t xml:space="preserve">. Página web </w:t>
      </w:r>
      <w:hyperlink r:id="rId11" w:history="1">
        <w:r w:rsidRPr="00444A57">
          <w:rPr>
            <w:rStyle w:val="Hyperlink"/>
            <w:sz w:val="16"/>
          </w:rPr>
          <w:t>www.compromisoytransparencia.com</w:t>
        </w:r>
      </w:hyperlink>
      <w:r w:rsidRPr="00444A57">
        <w:rPr>
          <w:color w:val="595959"/>
          <w:sz w:val="16"/>
        </w:rPr>
        <w:t xml:space="preserve"> </w:t>
      </w:r>
    </w:p>
    <w:p w:rsidR="00444A57" w:rsidRPr="00444A57" w:rsidRDefault="00444A57" w:rsidP="00444A57">
      <w:pPr>
        <w:pStyle w:val="ListParagraph"/>
        <w:rPr>
          <w:b/>
          <w:color w:val="595959"/>
          <w:sz w:val="16"/>
          <w:u w:val="single"/>
        </w:rPr>
      </w:pPr>
    </w:p>
    <w:p w:rsidR="00444A57" w:rsidRPr="000117DB" w:rsidRDefault="00444A57" w:rsidP="00700076">
      <w:pPr>
        <w:rPr>
          <w:b/>
          <w:color w:val="595959"/>
          <w:sz w:val="16"/>
          <w:u w:val="single"/>
        </w:rPr>
      </w:pPr>
      <w:r w:rsidRPr="00444A57">
        <w:rPr>
          <w:b/>
          <w:color w:val="595959"/>
          <w:sz w:val="16"/>
          <w:u w:val="single"/>
        </w:rPr>
        <w:t>Más información</w:t>
      </w:r>
      <w:r w:rsidRPr="00444A57">
        <w:rPr>
          <w:b/>
          <w:color w:val="595959"/>
          <w:sz w:val="16"/>
          <w:u w:val="single"/>
        </w:rPr>
        <w:br/>
      </w:r>
      <w:r w:rsidRPr="00444A57">
        <w:rPr>
          <w:color w:val="595959"/>
          <w:sz w:val="16"/>
        </w:rPr>
        <w:t>Esther Barrio</w:t>
      </w:r>
      <w:r w:rsidRPr="00444A57">
        <w:rPr>
          <w:color w:val="595959"/>
          <w:sz w:val="16"/>
        </w:rPr>
        <w:br/>
      </w:r>
      <w:hyperlink r:id="rId12" w:history="1">
        <w:r w:rsidRPr="00444A57">
          <w:rPr>
            <w:rStyle w:val="Hyperlink"/>
            <w:color w:val="595959"/>
            <w:sz w:val="16"/>
          </w:rPr>
          <w:t>compromisoempresarial@compromisoempresarial.com</w:t>
        </w:r>
      </w:hyperlink>
      <w:r w:rsidRPr="00444A57">
        <w:rPr>
          <w:color w:val="595959"/>
          <w:sz w:val="16"/>
        </w:rPr>
        <w:br/>
      </w:r>
      <w:hyperlink r:id="rId13" w:history="1">
        <w:r w:rsidRPr="00444A57">
          <w:rPr>
            <w:rStyle w:val="Hyperlink"/>
            <w:color w:val="595959"/>
            <w:sz w:val="16"/>
          </w:rPr>
          <w:t>ebarrio@compromisoempresarial.com</w:t>
        </w:r>
      </w:hyperlink>
      <w:r w:rsidRPr="00444A57">
        <w:rPr>
          <w:color w:val="595959"/>
          <w:sz w:val="16"/>
        </w:rPr>
        <w:br/>
        <w:t>Teléfono: 650 38 23 35</w:t>
      </w:r>
    </w:p>
    <w:sectPr w:rsidR="00444A57" w:rsidRPr="000117DB" w:rsidSect="00663A94">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86E" w:rsidRDefault="00CB086E" w:rsidP="00700076">
      <w:pPr>
        <w:spacing w:after="0" w:line="240" w:lineRule="auto"/>
      </w:pPr>
      <w:r>
        <w:separator/>
      </w:r>
    </w:p>
  </w:endnote>
  <w:endnote w:type="continuationSeparator" w:id="0">
    <w:p w:rsidR="00CB086E" w:rsidRDefault="00CB086E" w:rsidP="0070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86E" w:rsidRDefault="00CB086E" w:rsidP="00700076">
      <w:pPr>
        <w:spacing w:after="0" w:line="240" w:lineRule="auto"/>
      </w:pPr>
      <w:r>
        <w:separator/>
      </w:r>
    </w:p>
  </w:footnote>
  <w:footnote w:type="continuationSeparator" w:id="0">
    <w:p w:rsidR="00CB086E" w:rsidRDefault="00CB086E" w:rsidP="00700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076" w:rsidRDefault="00700076" w:rsidP="00700076">
    <w:pPr>
      <w:pStyle w:val="Header"/>
      <w:rPr>
        <w:b/>
      </w:rPr>
    </w:pPr>
    <w:r w:rsidRPr="00563FAA">
      <w:rPr>
        <w:b/>
        <w:noProof/>
        <w:lang w:eastAsia="es-ES"/>
      </w:rPr>
      <w:drawing>
        <wp:anchor distT="0" distB="0" distL="114300" distR="114300" simplePos="0" relativeHeight="251659264" behindDoc="0" locked="0" layoutInCell="1" allowOverlap="1">
          <wp:simplePos x="0" y="0"/>
          <wp:positionH relativeFrom="column">
            <wp:posOffset>3340100</wp:posOffset>
          </wp:positionH>
          <wp:positionV relativeFrom="paragraph">
            <wp:posOffset>-314960</wp:posOffset>
          </wp:positionV>
          <wp:extent cx="2054225" cy="582930"/>
          <wp:effectExtent l="0" t="0" r="0" b="0"/>
          <wp:wrapSquare wrapText="bothSides"/>
          <wp:docPr id="1" name="Imagen 1" descr="C:\Users\Esther\Desktop\compromiso empresarial\logos\Fundación Compromiso y Transparencia\Logo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her\Desktop\compromiso empresarial\logos\Fundación Compromiso y Transparencia\LogoCyT.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4005"/>
                  <a:stretch/>
                </pic:blipFill>
                <pic:spPr bwMode="auto">
                  <a:xfrm>
                    <a:off x="0" y="0"/>
                    <a:ext cx="2054225" cy="582930"/>
                  </a:xfrm>
                  <a:prstGeom prst="rect">
                    <a:avLst/>
                  </a:prstGeom>
                  <a:noFill/>
                  <a:ln>
                    <a:noFill/>
                  </a:ln>
                  <a:extLst>
                    <a:ext uri="{53640926-AAD7-44D8-BBD7-CCE9431645EC}">
                      <a14:shadowObscured xmlns:a14="http://schemas.microsoft.com/office/drawing/2010/main"/>
                    </a:ext>
                  </a:extLst>
                </pic:spPr>
              </pic:pic>
            </a:graphicData>
          </a:graphic>
        </wp:anchor>
      </w:drawing>
    </w:r>
    <w:r w:rsidRPr="00563FAA">
      <w:rPr>
        <w:b/>
      </w:rPr>
      <w:t>NOTA DE PRENSA</w:t>
    </w:r>
  </w:p>
  <w:p w:rsidR="00700076" w:rsidRPr="00700076" w:rsidRDefault="00700076" w:rsidP="007000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57D"/>
    <w:multiLevelType w:val="hybridMultilevel"/>
    <w:tmpl w:val="B5E257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FFE68F3"/>
    <w:multiLevelType w:val="hybridMultilevel"/>
    <w:tmpl w:val="F912C1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76"/>
    <w:rsid w:val="000067D0"/>
    <w:rsid w:val="000117DB"/>
    <w:rsid w:val="00054951"/>
    <w:rsid w:val="00056F01"/>
    <w:rsid w:val="00062025"/>
    <w:rsid w:val="00062C18"/>
    <w:rsid w:val="00080F0B"/>
    <w:rsid w:val="00145DEA"/>
    <w:rsid w:val="00146575"/>
    <w:rsid w:val="00191CD1"/>
    <w:rsid w:val="001E1B5B"/>
    <w:rsid w:val="001E23F7"/>
    <w:rsid w:val="001E424F"/>
    <w:rsid w:val="00230176"/>
    <w:rsid w:val="002370BC"/>
    <w:rsid w:val="00251200"/>
    <w:rsid w:val="002E10EB"/>
    <w:rsid w:val="00360EF6"/>
    <w:rsid w:val="00387337"/>
    <w:rsid w:val="003B20E8"/>
    <w:rsid w:val="003B344F"/>
    <w:rsid w:val="003C0422"/>
    <w:rsid w:val="003C135B"/>
    <w:rsid w:val="003F16E1"/>
    <w:rsid w:val="00423182"/>
    <w:rsid w:val="00444A57"/>
    <w:rsid w:val="0045055F"/>
    <w:rsid w:val="004633CA"/>
    <w:rsid w:val="00476045"/>
    <w:rsid w:val="004A0C47"/>
    <w:rsid w:val="004B50AE"/>
    <w:rsid w:val="005027E0"/>
    <w:rsid w:val="00506E36"/>
    <w:rsid w:val="005338AA"/>
    <w:rsid w:val="00535F2C"/>
    <w:rsid w:val="00542241"/>
    <w:rsid w:val="00551A5B"/>
    <w:rsid w:val="00554C27"/>
    <w:rsid w:val="00566CE7"/>
    <w:rsid w:val="0057323B"/>
    <w:rsid w:val="00595B76"/>
    <w:rsid w:val="005D45B1"/>
    <w:rsid w:val="005E3FC3"/>
    <w:rsid w:val="00641262"/>
    <w:rsid w:val="00642720"/>
    <w:rsid w:val="00663A94"/>
    <w:rsid w:val="006957F1"/>
    <w:rsid w:val="00700076"/>
    <w:rsid w:val="007030E4"/>
    <w:rsid w:val="00751A91"/>
    <w:rsid w:val="00757A85"/>
    <w:rsid w:val="00772F17"/>
    <w:rsid w:val="007878D3"/>
    <w:rsid w:val="007C3303"/>
    <w:rsid w:val="007D19EF"/>
    <w:rsid w:val="007F175C"/>
    <w:rsid w:val="0081136C"/>
    <w:rsid w:val="00883134"/>
    <w:rsid w:val="008D4EF5"/>
    <w:rsid w:val="008F761D"/>
    <w:rsid w:val="00922A6E"/>
    <w:rsid w:val="00942D01"/>
    <w:rsid w:val="00943E60"/>
    <w:rsid w:val="009445B4"/>
    <w:rsid w:val="00986845"/>
    <w:rsid w:val="009A7E4A"/>
    <w:rsid w:val="009F14F4"/>
    <w:rsid w:val="00A40BDC"/>
    <w:rsid w:val="00A4159F"/>
    <w:rsid w:val="00A607F5"/>
    <w:rsid w:val="00A679F7"/>
    <w:rsid w:val="00A86FD0"/>
    <w:rsid w:val="00B00BA8"/>
    <w:rsid w:val="00B01688"/>
    <w:rsid w:val="00B114E6"/>
    <w:rsid w:val="00B35E10"/>
    <w:rsid w:val="00B5171B"/>
    <w:rsid w:val="00BC058C"/>
    <w:rsid w:val="00BC57D4"/>
    <w:rsid w:val="00C01DBC"/>
    <w:rsid w:val="00C14951"/>
    <w:rsid w:val="00C2260B"/>
    <w:rsid w:val="00C40645"/>
    <w:rsid w:val="00C43753"/>
    <w:rsid w:val="00C52709"/>
    <w:rsid w:val="00C628F3"/>
    <w:rsid w:val="00C8093C"/>
    <w:rsid w:val="00C87378"/>
    <w:rsid w:val="00CB086E"/>
    <w:rsid w:val="00D04622"/>
    <w:rsid w:val="00D471F6"/>
    <w:rsid w:val="00D564A2"/>
    <w:rsid w:val="00DA492C"/>
    <w:rsid w:val="00DF1BC3"/>
    <w:rsid w:val="00E244A1"/>
    <w:rsid w:val="00E41824"/>
    <w:rsid w:val="00E67075"/>
    <w:rsid w:val="00E85B6D"/>
    <w:rsid w:val="00EB7EBD"/>
    <w:rsid w:val="00F01159"/>
    <w:rsid w:val="00F22E90"/>
    <w:rsid w:val="00F45C76"/>
    <w:rsid w:val="00F9692F"/>
    <w:rsid w:val="00FA5B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C19A0-06BE-4120-9B11-982C7DF1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076"/>
    <w:pPr>
      <w:tabs>
        <w:tab w:val="center" w:pos="4252"/>
        <w:tab w:val="right" w:pos="8504"/>
      </w:tabs>
      <w:spacing w:after="0" w:line="240" w:lineRule="auto"/>
    </w:pPr>
  </w:style>
  <w:style w:type="character" w:customStyle="1" w:styleId="HeaderChar">
    <w:name w:val="Header Char"/>
    <w:basedOn w:val="DefaultParagraphFont"/>
    <w:link w:val="Header"/>
    <w:uiPriority w:val="99"/>
    <w:rsid w:val="00700076"/>
  </w:style>
  <w:style w:type="paragraph" w:styleId="Footer">
    <w:name w:val="footer"/>
    <w:basedOn w:val="Normal"/>
    <w:link w:val="FooterChar"/>
    <w:uiPriority w:val="99"/>
    <w:unhideWhenUsed/>
    <w:rsid w:val="00700076"/>
    <w:pPr>
      <w:tabs>
        <w:tab w:val="center" w:pos="4252"/>
        <w:tab w:val="right" w:pos="8504"/>
      </w:tabs>
      <w:spacing w:after="0" w:line="240" w:lineRule="auto"/>
    </w:pPr>
  </w:style>
  <w:style w:type="character" w:customStyle="1" w:styleId="FooterChar">
    <w:name w:val="Footer Char"/>
    <w:basedOn w:val="DefaultParagraphFont"/>
    <w:link w:val="Footer"/>
    <w:uiPriority w:val="99"/>
    <w:rsid w:val="00700076"/>
  </w:style>
  <w:style w:type="paragraph" w:styleId="ListParagraph">
    <w:name w:val="List Paragraph"/>
    <w:basedOn w:val="Normal"/>
    <w:uiPriority w:val="34"/>
    <w:qFormat/>
    <w:rsid w:val="00700076"/>
    <w:pPr>
      <w:ind w:left="720"/>
      <w:contextualSpacing/>
    </w:pPr>
  </w:style>
  <w:style w:type="character" w:styleId="Hyperlink">
    <w:name w:val="Hyperlink"/>
    <w:basedOn w:val="DefaultParagraphFont"/>
    <w:uiPriority w:val="99"/>
    <w:unhideWhenUsed/>
    <w:rsid w:val="00700076"/>
    <w:rPr>
      <w:color w:val="0563C1" w:themeColor="hyperlink"/>
      <w:u w:val="single"/>
    </w:rPr>
  </w:style>
  <w:style w:type="paragraph" w:styleId="EndnoteText">
    <w:name w:val="endnote text"/>
    <w:basedOn w:val="Normal"/>
    <w:link w:val="EndnoteTextChar"/>
    <w:uiPriority w:val="99"/>
    <w:semiHidden/>
    <w:unhideWhenUsed/>
    <w:rsid w:val="001E23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23F7"/>
    <w:rPr>
      <w:sz w:val="20"/>
      <w:szCs w:val="20"/>
    </w:rPr>
  </w:style>
  <w:style w:type="character" w:styleId="EndnoteReference">
    <w:name w:val="endnote reference"/>
    <w:basedOn w:val="DefaultParagraphFont"/>
    <w:uiPriority w:val="99"/>
    <w:semiHidden/>
    <w:unhideWhenUsed/>
    <w:rsid w:val="001E23F7"/>
    <w:rPr>
      <w:vertAlign w:val="superscript"/>
    </w:rPr>
  </w:style>
  <w:style w:type="character" w:styleId="FollowedHyperlink">
    <w:name w:val="FollowedHyperlink"/>
    <w:basedOn w:val="DefaultParagraphFont"/>
    <w:uiPriority w:val="99"/>
    <w:semiHidden/>
    <w:unhideWhenUsed/>
    <w:rsid w:val="003873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53646">
      <w:bodyDiv w:val="1"/>
      <w:marLeft w:val="0"/>
      <w:marRight w:val="0"/>
      <w:marTop w:val="0"/>
      <w:marBottom w:val="0"/>
      <w:divBdr>
        <w:top w:val="none" w:sz="0" w:space="0" w:color="auto"/>
        <w:left w:val="none" w:sz="0" w:space="0" w:color="auto"/>
        <w:bottom w:val="none" w:sz="0" w:space="0" w:color="auto"/>
        <w:right w:val="none" w:sz="0" w:space="0" w:color="auto"/>
      </w:divBdr>
    </w:div>
    <w:div w:id="289748327">
      <w:bodyDiv w:val="1"/>
      <w:marLeft w:val="0"/>
      <w:marRight w:val="0"/>
      <w:marTop w:val="0"/>
      <w:marBottom w:val="0"/>
      <w:divBdr>
        <w:top w:val="none" w:sz="0" w:space="0" w:color="auto"/>
        <w:left w:val="none" w:sz="0" w:space="0" w:color="auto"/>
        <w:bottom w:val="none" w:sz="0" w:space="0" w:color="auto"/>
        <w:right w:val="none" w:sz="0" w:space="0" w:color="auto"/>
      </w:divBdr>
    </w:div>
    <w:div w:id="754016625">
      <w:bodyDiv w:val="1"/>
      <w:marLeft w:val="0"/>
      <w:marRight w:val="0"/>
      <w:marTop w:val="0"/>
      <w:marBottom w:val="0"/>
      <w:divBdr>
        <w:top w:val="none" w:sz="0" w:space="0" w:color="auto"/>
        <w:left w:val="none" w:sz="0" w:space="0" w:color="auto"/>
        <w:bottom w:val="none" w:sz="0" w:space="0" w:color="auto"/>
        <w:right w:val="none" w:sz="0" w:space="0" w:color="auto"/>
      </w:divBdr>
    </w:div>
    <w:div w:id="878203370">
      <w:bodyDiv w:val="1"/>
      <w:marLeft w:val="0"/>
      <w:marRight w:val="0"/>
      <w:marTop w:val="0"/>
      <w:marBottom w:val="0"/>
      <w:divBdr>
        <w:top w:val="none" w:sz="0" w:space="0" w:color="auto"/>
        <w:left w:val="none" w:sz="0" w:space="0" w:color="auto"/>
        <w:bottom w:val="none" w:sz="0" w:space="0" w:color="auto"/>
        <w:right w:val="none" w:sz="0" w:space="0" w:color="auto"/>
      </w:divBdr>
    </w:div>
    <w:div w:id="894780612">
      <w:bodyDiv w:val="1"/>
      <w:marLeft w:val="0"/>
      <w:marRight w:val="0"/>
      <w:marTop w:val="0"/>
      <w:marBottom w:val="0"/>
      <w:divBdr>
        <w:top w:val="none" w:sz="0" w:space="0" w:color="auto"/>
        <w:left w:val="none" w:sz="0" w:space="0" w:color="auto"/>
        <w:bottom w:val="none" w:sz="0" w:space="0" w:color="auto"/>
        <w:right w:val="none" w:sz="0" w:space="0" w:color="auto"/>
      </w:divBdr>
    </w:div>
    <w:div w:id="18692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omisoytransparencia.com" TargetMode="External"/><Relationship Id="rId13" Type="http://schemas.openxmlformats.org/officeDocument/2006/relationships/hyperlink" Target="mailto:ebarrio@compromisoempresari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omisoempresarial@compromisoempresaria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omisoytransparenci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teo.org/project/transparencia-partidos-politicos" TargetMode="External"/><Relationship Id="rId4" Type="http://schemas.openxmlformats.org/officeDocument/2006/relationships/settings" Target="settings.xml"/><Relationship Id="rId9" Type="http://schemas.openxmlformats.org/officeDocument/2006/relationships/hyperlink" Target="http://goteo.cc/transparenc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57CAB-9345-414F-971B-9EBF47F37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1086</Words>
  <Characters>5979</Characters>
  <Application>Microsoft Office Word</Application>
  <DocSecurity>0</DocSecurity>
  <Lines>49</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Barrio</dc:creator>
  <cp:lastModifiedBy>esther Barrio Medina</cp:lastModifiedBy>
  <cp:revision>5</cp:revision>
  <dcterms:created xsi:type="dcterms:W3CDTF">2016-06-21T11:58:00Z</dcterms:created>
  <dcterms:modified xsi:type="dcterms:W3CDTF">2016-06-22T08:29:00Z</dcterms:modified>
</cp:coreProperties>
</file>