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D8" w:rsidRDefault="00D468D8" w:rsidP="00D468D8">
      <w:pPr>
        <w:jc w:val="center"/>
        <w:rPr>
          <w:rFonts w:cstheme="minorHAnsi"/>
          <w:i/>
        </w:rPr>
      </w:pPr>
      <w:r>
        <w:rPr>
          <w:rFonts w:cstheme="minorHAnsi"/>
          <w:i/>
          <w:szCs w:val="26"/>
        </w:rPr>
        <w:t xml:space="preserve">Fundación Compromiso y Transparencia examina a </w:t>
      </w:r>
      <w:r w:rsidRPr="00D468D8">
        <w:rPr>
          <w:rFonts w:cstheme="minorHAnsi"/>
          <w:i/>
        </w:rPr>
        <w:t xml:space="preserve">las 40 mayores entidades </w:t>
      </w:r>
      <w:r w:rsidR="002B6DB8">
        <w:rPr>
          <w:rFonts w:cstheme="minorHAnsi"/>
          <w:i/>
        </w:rPr>
        <w:t>del sector seguros</w:t>
      </w:r>
    </w:p>
    <w:p w:rsidR="00963443" w:rsidRPr="00D468D8" w:rsidRDefault="00C73FD9" w:rsidP="00D468D8">
      <w:pPr>
        <w:jc w:val="center"/>
        <w:rPr>
          <w:rFonts w:cstheme="minorHAnsi"/>
          <w:b/>
          <w:sz w:val="32"/>
          <w:szCs w:val="26"/>
        </w:rPr>
      </w:pPr>
      <w:r w:rsidRPr="00D468D8">
        <w:rPr>
          <w:rFonts w:cstheme="minorHAnsi"/>
          <w:b/>
          <w:sz w:val="32"/>
          <w:szCs w:val="26"/>
        </w:rPr>
        <w:t xml:space="preserve">Las aseguradoras confían a las </w:t>
      </w:r>
      <w:r w:rsidR="00D468D8">
        <w:rPr>
          <w:rFonts w:cstheme="minorHAnsi"/>
          <w:b/>
          <w:sz w:val="32"/>
          <w:szCs w:val="26"/>
        </w:rPr>
        <w:t>‘</w:t>
      </w:r>
      <w:r w:rsidRPr="00D468D8">
        <w:rPr>
          <w:rFonts w:cstheme="minorHAnsi"/>
          <w:b/>
          <w:sz w:val="32"/>
          <w:szCs w:val="26"/>
        </w:rPr>
        <w:t xml:space="preserve">Big </w:t>
      </w:r>
      <w:proofErr w:type="spellStart"/>
      <w:r w:rsidRPr="00D468D8">
        <w:rPr>
          <w:rFonts w:cstheme="minorHAnsi"/>
          <w:b/>
          <w:sz w:val="32"/>
          <w:szCs w:val="26"/>
        </w:rPr>
        <w:t>Four</w:t>
      </w:r>
      <w:proofErr w:type="spellEnd"/>
      <w:r w:rsidR="00D468D8">
        <w:rPr>
          <w:rFonts w:cstheme="minorHAnsi"/>
          <w:b/>
          <w:sz w:val="32"/>
          <w:szCs w:val="26"/>
        </w:rPr>
        <w:t>’</w:t>
      </w:r>
      <w:r w:rsidRPr="00D468D8">
        <w:rPr>
          <w:rFonts w:cstheme="minorHAnsi"/>
          <w:b/>
          <w:sz w:val="32"/>
          <w:szCs w:val="26"/>
        </w:rPr>
        <w:t xml:space="preserve"> el Informe sobre la Situación Financiera y de Solvencia (ISFS)</w:t>
      </w:r>
      <w:r w:rsidR="008240DB" w:rsidRPr="00D468D8">
        <w:rPr>
          <w:rFonts w:cstheme="minorHAnsi"/>
          <w:b/>
          <w:sz w:val="32"/>
          <w:szCs w:val="26"/>
        </w:rPr>
        <w:t xml:space="preserve"> en contra de los principios </w:t>
      </w:r>
      <w:r w:rsidRPr="00D468D8">
        <w:rPr>
          <w:rFonts w:cstheme="minorHAnsi"/>
          <w:b/>
          <w:sz w:val="32"/>
          <w:szCs w:val="26"/>
        </w:rPr>
        <w:t>de buen gobierno</w:t>
      </w:r>
    </w:p>
    <w:p w:rsidR="00C0396A" w:rsidRDefault="00C0396A" w:rsidP="00D468D8">
      <w:pPr>
        <w:pStyle w:val="ListParagraph"/>
        <w:numPr>
          <w:ilvl w:val="0"/>
          <w:numId w:val="2"/>
        </w:numPr>
        <w:jc w:val="both"/>
        <w:rPr>
          <w:rFonts w:cstheme="minorHAnsi"/>
          <w:i/>
        </w:rPr>
      </w:pPr>
      <w:r w:rsidRPr="00D468D8">
        <w:rPr>
          <w:rFonts w:cstheme="minorHAnsi"/>
          <w:i/>
        </w:rPr>
        <w:t>El informe de la F</w:t>
      </w:r>
      <w:r w:rsidR="00D468D8">
        <w:rPr>
          <w:rFonts w:cstheme="minorHAnsi"/>
          <w:i/>
        </w:rPr>
        <w:t xml:space="preserve">undación </w:t>
      </w:r>
      <w:r w:rsidRPr="00D468D8">
        <w:rPr>
          <w:rFonts w:cstheme="minorHAnsi"/>
          <w:i/>
        </w:rPr>
        <w:t>C</w:t>
      </w:r>
      <w:r w:rsidR="00D468D8">
        <w:rPr>
          <w:rFonts w:cstheme="minorHAnsi"/>
          <w:i/>
        </w:rPr>
        <w:t xml:space="preserve">ompromiso </w:t>
      </w:r>
      <w:r w:rsidRPr="00D468D8">
        <w:rPr>
          <w:rFonts w:cstheme="minorHAnsi"/>
          <w:i/>
        </w:rPr>
        <w:t>y</w:t>
      </w:r>
      <w:r w:rsidR="00D468D8">
        <w:rPr>
          <w:rFonts w:cstheme="minorHAnsi"/>
          <w:i/>
        </w:rPr>
        <w:t xml:space="preserve"> </w:t>
      </w:r>
      <w:r w:rsidRPr="00D468D8">
        <w:rPr>
          <w:rFonts w:cstheme="minorHAnsi"/>
          <w:i/>
        </w:rPr>
        <w:t>T</w:t>
      </w:r>
      <w:r w:rsidR="00D468D8">
        <w:rPr>
          <w:rFonts w:cstheme="minorHAnsi"/>
          <w:i/>
        </w:rPr>
        <w:t>ransparencia</w:t>
      </w:r>
      <w:r w:rsidRPr="00D468D8">
        <w:rPr>
          <w:rFonts w:cstheme="minorHAnsi"/>
          <w:i/>
        </w:rPr>
        <w:t xml:space="preserve"> analiza las prácticas de buen gobierno de las 40 mayores aseguradoras en la revisión del </w:t>
      </w:r>
      <w:r w:rsidR="00D468D8" w:rsidRPr="00D468D8">
        <w:rPr>
          <w:rFonts w:cstheme="minorHAnsi"/>
          <w:i/>
        </w:rPr>
        <w:t xml:space="preserve">Informe sobre la Situación Financiera y de Solvencia </w:t>
      </w:r>
      <w:r w:rsidR="00D468D8">
        <w:rPr>
          <w:rFonts w:cstheme="minorHAnsi"/>
          <w:i/>
        </w:rPr>
        <w:t>(</w:t>
      </w:r>
      <w:r w:rsidRPr="00D468D8">
        <w:rPr>
          <w:rFonts w:cstheme="minorHAnsi"/>
          <w:i/>
        </w:rPr>
        <w:t>ISFS</w:t>
      </w:r>
      <w:r w:rsidR="00D468D8">
        <w:rPr>
          <w:rFonts w:cstheme="minorHAnsi"/>
          <w:i/>
        </w:rPr>
        <w:t>)</w:t>
      </w:r>
    </w:p>
    <w:p w:rsidR="00D468D8" w:rsidRPr="00D468D8" w:rsidRDefault="00D468D8" w:rsidP="00D468D8">
      <w:pPr>
        <w:pStyle w:val="ListParagraph"/>
        <w:jc w:val="both"/>
        <w:rPr>
          <w:rFonts w:cstheme="minorHAnsi"/>
          <w:i/>
        </w:rPr>
      </w:pPr>
    </w:p>
    <w:p w:rsidR="00C73FD9" w:rsidRDefault="00004B67" w:rsidP="00C73FD9">
      <w:pPr>
        <w:pStyle w:val="ListParagraph"/>
        <w:numPr>
          <w:ilvl w:val="0"/>
          <w:numId w:val="2"/>
        </w:numPr>
        <w:jc w:val="both"/>
        <w:rPr>
          <w:rFonts w:cstheme="minorHAnsi"/>
          <w:i/>
        </w:rPr>
      </w:pPr>
      <w:proofErr w:type="spellStart"/>
      <w:r w:rsidRPr="00D468D8">
        <w:rPr>
          <w:rFonts w:cstheme="minorHAnsi"/>
          <w:i/>
        </w:rPr>
        <w:t>Santalucí</w:t>
      </w:r>
      <w:r w:rsidR="00C73FD9" w:rsidRPr="00D468D8">
        <w:rPr>
          <w:rFonts w:cstheme="minorHAnsi"/>
          <w:i/>
        </w:rPr>
        <w:t>a</w:t>
      </w:r>
      <w:proofErr w:type="spellEnd"/>
      <w:r w:rsidR="00C73FD9" w:rsidRPr="00D468D8">
        <w:rPr>
          <w:rFonts w:cstheme="minorHAnsi"/>
          <w:i/>
        </w:rPr>
        <w:t xml:space="preserve"> es la compañía</w:t>
      </w:r>
      <w:r w:rsidR="00963443" w:rsidRPr="00D468D8">
        <w:rPr>
          <w:rFonts w:cstheme="minorHAnsi"/>
          <w:i/>
        </w:rPr>
        <w:t xml:space="preserve"> aseguradora</w:t>
      </w:r>
      <w:r w:rsidR="00C73FD9" w:rsidRPr="00D468D8">
        <w:rPr>
          <w:rFonts w:cstheme="minorHAnsi"/>
          <w:i/>
        </w:rPr>
        <w:t xml:space="preserve"> </w:t>
      </w:r>
      <w:r w:rsidR="008240DB" w:rsidRPr="00D468D8">
        <w:rPr>
          <w:rFonts w:cstheme="minorHAnsi"/>
          <w:i/>
        </w:rPr>
        <w:t>mejor valorada,</w:t>
      </w:r>
      <w:r w:rsidR="00C73FD9" w:rsidRPr="00D468D8">
        <w:rPr>
          <w:rFonts w:cstheme="minorHAnsi"/>
          <w:i/>
        </w:rPr>
        <w:t xml:space="preserve"> seguida de </w:t>
      </w:r>
      <w:proofErr w:type="spellStart"/>
      <w:r w:rsidR="008240DB" w:rsidRPr="00D468D8">
        <w:rPr>
          <w:rFonts w:cstheme="minorHAnsi"/>
          <w:i/>
        </w:rPr>
        <w:t>Nationale</w:t>
      </w:r>
      <w:proofErr w:type="spellEnd"/>
      <w:r w:rsidR="008240DB" w:rsidRPr="00D468D8">
        <w:rPr>
          <w:rFonts w:cstheme="minorHAnsi"/>
          <w:i/>
        </w:rPr>
        <w:t xml:space="preserve"> </w:t>
      </w:r>
      <w:proofErr w:type="spellStart"/>
      <w:r w:rsidR="008240DB" w:rsidRPr="00D468D8">
        <w:rPr>
          <w:rFonts w:cstheme="minorHAnsi"/>
          <w:i/>
        </w:rPr>
        <w:t>Nederlanden</w:t>
      </w:r>
      <w:proofErr w:type="spellEnd"/>
      <w:r w:rsidR="008240DB" w:rsidRPr="00D468D8">
        <w:rPr>
          <w:rFonts w:cstheme="minorHAnsi"/>
          <w:i/>
        </w:rPr>
        <w:t xml:space="preserve"> </w:t>
      </w:r>
      <w:r w:rsidR="00C73FD9" w:rsidRPr="00D468D8">
        <w:rPr>
          <w:rFonts w:cstheme="minorHAnsi"/>
          <w:i/>
        </w:rPr>
        <w:t>Vida, BBVA Seguros, Mutual Médica y Mutualidad de Procuradores</w:t>
      </w:r>
    </w:p>
    <w:p w:rsidR="00D468D8" w:rsidRPr="00D468D8" w:rsidRDefault="00D468D8" w:rsidP="00D468D8">
      <w:pPr>
        <w:pStyle w:val="ListParagraph"/>
        <w:jc w:val="both"/>
        <w:rPr>
          <w:rFonts w:cstheme="minorHAnsi"/>
          <w:i/>
        </w:rPr>
      </w:pPr>
    </w:p>
    <w:p w:rsidR="00C73FD9" w:rsidRPr="00D468D8" w:rsidRDefault="00963443" w:rsidP="00C73FD9">
      <w:pPr>
        <w:pStyle w:val="ListParagraph"/>
        <w:numPr>
          <w:ilvl w:val="0"/>
          <w:numId w:val="2"/>
        </w:numPr>
        <w:jc w:val="both"/>
        <w:rPr>
          <w:rFonts w:cstheme="minorHAnsi"/>
          <w:i/>
        </w:rPr>
      </w:pPr>
      <w:r w:rsidRPr="00D468D8">
        <w:rPr>
          <w:rFonts w:cstheme="minorHAnsi"/>
          <w:i/>
        </w:rPr>
        <w:t>En el 85% de los casos analizados los auditores que revisan las cuentas son los mismos que revisan el ISFS</w:t>
      </w:r>
    </w:p>
    <w:p w:rsidR="008240DB" w:rsidRPr="00D468D8" w:rsidRDefault="00D468D8" w:rsidP="00C73FD9">
      <w:pPr>
        <w:jc w:val="both"/>
        <w:rPr>
          <w:rFonts w:cstheme="minorHAnsi"/>
        </w:rPr>
      </w:pPr>
      <w:r w:rsidRPr="00D468D8">
        <w:rPr>
          <w:rFonts w:cstheme="minorHAnsi"/>
          <w:b/>
        </w:rPr>
        <w:t>Madrid, 1</w:t>
      </w:r>
      <w:r w:rsidR="002B6DB8">
        <w:rPr>
          <w:rFonts w:cstheme="minorHAnsi"/>
          <w:b/>
        </w:rPr>
        <w:t>8</w:t>
      </w:r>
      <w:r w:rsidRPr="00D468D8">
        <w:rPr>
          <w:rFonts w:cstheme="minorHAnsi"/>
          <w:b/>
        </w:rPr>
        <w:t xml:space="preserve"> de junio de 2018.</w:t>
      </w:r>
      <w:r>
        <w:rPr>
          <w:rFonts w:cstheme="minorHAnsi"/>
        </w:rPr>
        <w:t xml:space="preserve"> </w:t>
      </w:r>
      <w:r w:rsidR="008240DB" w:rsidRPr="00D468D8">
        <w:rPr>
          <w:rFonts w:cstheme="minorHAnsi"/>
        </w:rPr>
        <w:t>Al igual que ocurre con las cuentas anuales, que requieren la opinión de un auditor externo independiente que valore y emita una opinión sobre su fiabilidad y certeza, a las empresas de seguros se les exige la elaboración y publicación de un informe (</w:t>
      </w:r>
      <w:r w:rsidRPr="00D468D8">
        <w:rPr>
          <w:rFonts w:cstheme="minorHAnsi"/>
        </w:rPr>
        <w:t>Informe sobre la Situación Financiera y de Solvencia</w:t>
      </w:r>
      <w:r w:rsidRPr="00D468D8">
        <w:rPr>
          <w:rFonts w:cstheme="minorHAnsi"/>
          <w:i/>
        </w:rPr>
        <w:t xml:space="preserve"> </w:t>
      </w:r>
      <w:r>
        <w:rPr>
          <w:rFonts w:cstheme="minorHAnsi"/>
          <w:i/>
        </w:rPr>
        <w:t xml:space="preserve">- </w:t>
      </w:r>
      <w:r w:rsidR="008240DB" w:rsidRPr="00D468D8">
        <w:rPr>
          <w:rFonts w:cstheme="minorHAnsi"/>
        </w:rPr>
        <w:t>ISFS) sobre los riesgos asumidos en la gestión de su negocio y su capacidad económica para afrontarlos (nivel de solvencia), el cual debe ser revisado por expertos independientes</w:t>
      </w:r>
      <w:r>
        <w:rPr>
          <w:rFonts w:cstheme="minorHAnsi"/>
        </w:rPr>
        <w:t>.</w:t>
      </w:r>
    </w:p>
    <w:p w:rsidR="008240DB" w:rsidRPr="00D468D8" w:rsidRDefault="008240DB" w:rsidP="00C73FD9">
      <w:pPr>
        <w:jc w:val="both"/>
        <w:rPr>
          <w:rFonts w:cstheme="minorHAnsi"/>
        </w:rPr>
      </w:pPr>
      <w:r w:rsidRPr="00D468D8">
        <w:rPr>
          <w:rFonts w:cstheme="minorHAnsi"/>
        </w:rPr>
        <w:t xml:space="preserve">Actualmente, la revisión del ISFS está monopolizada por las </w:t>
      </w:r>
      <w:r w:rsidRPr="002B6DB8">
        <w:rPr>
          <w:rFonts w:cstheme="minorHAnsi"/>
          <w:i/>
        </w:rPr>
        <w:t xml:space="preserve">Big </w:t>
      </w:r>
      <w:proofErr w:type="spellStart"/>
      <w:r w:rsidRPr="002B6DB8">
        <w:rPr>
          <w:rFonts w:cstheme="minorHAnsi"/>
          <w:i/>
        </w:rPr>
        <w:t>Four</w:t>
      </w:r>
      <w:proofErr w:type="spellEnd"/>
      <w:r w:rsidR="00D468D8">
        <w:rPr>
          <w:rFonts w:cstheme="minorHAnsi"/>
        </w:rPr>
        <w:t xml:space="preserve"> </w:t>
      </w:r>
      <w:r w:rsidR="00D468D8" w:rsidRPr="000A77C1">
        <w:rPr>
          <w:rFonts w:cstheme="minorHAnsi"/>
        </w:rPr>
        <w:t>(</w:t>
      </w:r>
      <w:proofErr w:type="spellStart"/>
      <w:r w:rsidR="00D468D8" w:rsidRPr="000A77C1">
        <w:rPr>
          <w:rFonts w:cstheme="minorHAnsi"/>
        </w:rPr>
        <w:t>Deloitte</w:t>
      </w:r>
      <w:proofErr w:type="spellEnd"/>
      <w:r w:rsidR="00D468D8" w:rsidRPr="000A77C1">
        <w:rPr>
          <w:rFonts w:cstheme="minorHAnsi"/>
        </w:rPr>
        <w:t xml:space="preserve">, E&amp;Y, KPMG y </w:t>
      </w:r>
      <w:proofErr w:type="spellStart"/>
      <w:r w:rsidR="00D468D8" w:rsidRPr="000A77C1">
        <w:rPr>
          <w:rFonts w:cstheme="minorHAnsi"/>
        </w:rPr>
        <w:t>PwC</w:t>
      </w:r>
      <w:proofErr w:type="spellEnd"/>
      <w:r w:rsidR="00D468D8">
        <w:rPr>
          <w:rFonts w:cstheme="minorHAnsi"/>
        </w:rPr>
        <w:t>)</w:t>
      </w:r>
      <w:r w:rsidRPr="00D468D8">
        <w:rPr>
          <w:rFonts w:cstheme="minorHAnsi"/>
        </w:rPr>
        <w:t>, que son las encargadas de elaborar, asimismo, el informe de auditoría de cuentas. Según el informe publicado por la Fundación Compromiso y Transparencia</w:t>
      </w:r>
      <w:r w:rsidR="00D468D8">
        <w:rPr>
          <w:rFonts w:cstheme="minorHAnsi"/>
        </w:rPr>
        <w:t xml:space="preserve"> (disponible en </w:t>
      </w:r>
      <w:hyperlink r:id="rId7" w:history="1">
        <w:r w:rsidR="00D468D8" w:rsidRPr="00AD3485">
          <w:rPr>
            <w:rStyle w:val="Hyperlink"/>
            <w:rFonts w:cstheme="minorHAnsi"/>
          </w:rPr>
          <w:t>www.compromisoytransparencia.com</w:t>
        </w:r>
      </w:hyperlink>
      <w:r w:rsidR="00D468D8">
        <w:rPr>
          <w:rFonts w:cstheme="minorHAnsi"/>
        </w:rPr>
        <w:t>)</w:t>
      </w:r>
      <w:r w:rsidR="00C0396A" w:rsidRPr="00D468D8">
        <w:rPr>
          <w:rFonts w:cstheme="minorHAnsi"/>
        </w:rPr>
        <w:t>,</w:t>
      </w:r>
      <w:r w:rsidR="00D468D8">
        <w:rPr>
          <w:rFonts w:cstheme="minorHAnsi"/>
        </w:rPr>
        <w:t xml:space="preserve"> </w:t>
      </w:r>
      <w:r w:rsidRPr="00D468D8">
        <w:rPr>
          <w:rFonts w:cstheme="minorHAnsi"/>
        </w:rPr>
        <w:t xml:space="preserve">se trata de un caso claro de </w:t>
      </w:r>
      <w:r w:rsidRPr="00D468D8">
        <w:rPr>
          <w:rFonts w:cstheme="minorHAnsi"/>
          <w:b/>
        </w:rPr>
        <w:t xml:space="preserve">mala praxis empresarial en la selección de los proveedores </w:t>
      </w:r>
      <w:r w:rsidRPr="00D468D8">
        <w:rPr>
          <w:rFonts w:cstheme="minorHAnsi"/>
        </w:rPr>
        <w:t>de servicios profesionales, al basarse la decisión, exclusivamente, en criterios de costes, sin que prime el principio de especialización e independencia real y eliminando la posibilidad de un control adicional sobre la valoración de los auditores por una tercera instancia que refuerce su independencia</w:t>
      </w:r>
      <w:r w:rsidR="00D468D8">
        <w:rPr>
          <w:rFonts w:cstheme="minorHAnsi"/>
        </w:rPr>
        <w:t>.</w:t>
      </w:r>
    </w:p>
    <w:p w:rsidR="00C73FD9" w:rsidRPr="00D468D8" w:rsidRDefault="005906A6" w:rsidP="00C73FD9">
      <w:pPr>
        <w:jc w:val="both"/>
        <w:rPr>
          <w:rFonts w:cstheme="minorHAnsi"/>
        </w:rPr>
      </w:pPr>
      <w:r w:rsidRPr="00D468D8">
        <w:rPr>
          <w:rFonts w:cstheme="minorHAnsi"/>
        </w:rPr>
        <w:t xml:space="preserve">Para evaluar la independencia y transparencia en la selección del responsable de realizar la revisión del ISFS el informe </w:t>
      </w:r>
      <w:r w:rsidR="00D468D8">
        <w:rPr>
          <w:rFonts w:cstheme="minorHAnsi"/>
        </w:rPr>
        <w:t>examina</w:t>
      </w:r>
      <w:r w:rsidRPr="00D468D8">
        <w:rPr>
          <w:rFonts w:cstheme="minorHAnsi"/>
        </w:rPr>
        <w:t>, entre otras cuestiones: la mayor o menor transparencia en el proceso d</w:t>
      </w:r>
      <w:r w:rsidR="00D468D8">
        <w:rPr>
          <w:rFonts w:cstheme="minorHAnsi"/>
        </w:rPr>
        <w:t xml:space="preserve">e selección del revisor; </w:t>
      </w:r>
      <w:r w:rsidRPr="00D468D8">
        <w:rPr>
          <w:rFonts w:cstheme="minorHAnsi"/>
        </w:rPr>
        <w:t>la independencia de este último según preste o n</w:t>
      </w:r>
      <w:r w:rsidR="00D468D8">
        <w:rPr>
          <w:rFonts w:cstheme="minorHAnsi"/>
        </w:rPr>
        <w:t xml:space="preserve">o otra tipología de servicios, y </w:t>
      </w:r>
      <w:r w:rsidRPr="00D468D8">
        <w:rPr>
          <w:rFonts w:cstheme="minorHAnsi"/>
        </w:rPr>
        <w:t xml:space="preserve">el </w:t>
      </w:r>
      <w:r w:rsidR="002B6DB8">
        <w:rPr>
          <w:rFonts w:cstheme="minorHAnsi"/>
        </w:rPr>
        <w:t>rango</w:t>
      </w:r>
      <w:r w:rsidRPr="00D468D8">
        <w:rPr>
          <w:rFonts w:cstheme="minorHAnsi"/>
        </w:rPr>
        <w:t xml:space="preserve"> de compromiso de los órganos de gobierno y el nivel de especialización de las propias compañías que llevan a cabo la revisión del ISFS. El informe analiza las</w:t>
      </w:r>
      <w:r w:rsidR="00A62841" w:rsidRPr="00D468D8">
        <w:rPr>
          <w:rFonts w:cstheme="minorHAnsi"/>
        </w:rPr>
        <w:t xml:space="preserve"> </w:t>
      </w:r>
      <w:r w:rsidR="00D468D8">
        <w:rPr>
          <w:rFonts w:cstheme="minorHAnsi"/>
        </w:rPr>
        <w:t>40</w:t>
      </w:r>
      <w:r w:rsidR="00A62841" w:rsidRPr="00D468D8">
        <w:rPr>
          <w:rFonts w:cstheme="minorHAnsi"/>
        </w:rPr>
        <w:t xml:space="preserve"> </w:t>
      </w:r>
      <w:r w:rsidR="00C73FD9" w:rsidRPr="00D468D8">
        <w:rPr>
          <w:rFonts w:cstheme="minorHAnsi"/>
        </w:rPr>
        <w:t>sociedades aseguradoras y mutualidades de mayor dimensión por volumen de prima emitida de seguro directo a lo largo del ejercicio 2017</w:t>
      </w:r>
      <w:r w:rsidR="00A62841" w:rsidRPr="00D468D8">
        <w:rPr>
          <w:rFonts w:cstheme="minorHAnsi"/>
        </w:rPr>
        <w:t>.</w:t>
      </w:r>
    </w:p>
    <w:p w:rsidR="00A62841" w:rsidRPr="00D468D8" w:rsidRDefault="00A62841" w:rsidP="00C73FD9">
      <w:pPr>
        <w:jc w:val="both"/>
        <w:rPr>
          <w:rFonts w:cstheme="minorHAnsi"/>
          <w:lang w:eastAsia="es-ES_tradnl"/>
        </w:rPr>
      </w:pPr>
      <w:r w:rsidRPr="00D468D8">
        <w:rPr>
          <w:rFonts w:cstheme="minorHAnsi"/>
          <w:lang w:eastAsia="es-ES_tradnl"/>
        </w:rPr>
        <w:t xml:space="preserve">Destacan como </w:t>
      </w:r>
      <w:r w:rsidRPr="000B05A1">
        <w:rPr>
          <w:rFonts w:cstheme="minorHAnsi"/>
          <w:b/>
          <w:lang w:eastAsia="es-ES_tradnl"/>
        </w:rPr>
        <w:t xml:space="preserve">las compañías mejor evaluadas </w:t>
      </w:r>
      <w:proofErr w:type="spellStart"/>
      <w:r w:rsidRPr="000B05A1">
        <w:rPr>
          <w:rFonts w:cstheme="minorHAnsi"/>
          <w:b/>
          <w:lang w:eastAsia="es-ES_tradnl"/>
        </w:rPr>
        <w:t>Santa</w:t>
      </w:r>
      <w:r w:rsidR="000B05A1" w:rsidRPr="000B05A1">
        <w:rPr>
          <w:rFonts w:cstheme="minorHAnsi"/>
          <w:b/>
          <w:lang w:eastAsia="es-ES_tradnl"/>
        </w:rPr>
        <w:t>l</w:t>
      </w:r>
      <w:r w:rsidRPr="000B05A1">
        <w:rPr>
          <w:rFonts w:cstheme="minorHAnsi"/>
          <w:b/>
          <w:lang w:eastAsia="es-ES_tradnl"/>
        </w:rPr>
        <w:t>ucía</w:t>
      </w:r>
      <w:proofErr w:type="spellEnd"/>
      <w:r w:rsidRPr="000B05A1">
        <w:rPr>
          <w:rFonts w:cstheme="minorHAnsi"/>
          <w:b/>
          <w:lang w:eastAsia="es-ES_tradnl"/>
        </w:rPr>
        <w:t xml:space="preserve">, </w:t>
      </w:r>
      <w:r w:rsidRPr="00D468D8">
        <w:rPr>
          <w:rFonts w:cstheme="minorHAnsi"/>
          <w:lang w:eastAsia="es-ES_tradnl"/>
        </w:rPr>
        <w:t xml:space="preserve">con </w:t>
      </w:r>
      <w:r w:rsidR="000B05A1">
        <w:rPr>
          <w:rFonts w:cstheme="minorHAnsi"/>
          <w:color w:val="000000" w:themeColor="text1"/>
          <w:lang w:eastAsia="es-ES_tradnl"/>
        </w:rPr>
        <w:t>cinco</w:t>
      </w:r>
      <w:r w:rsidRPr="00D468D8">
        <w:rPr>
          <w:rFonts w:cstheme="minorHAnsi"/>
          <w:color w:val="000000" w:themeColor="text1"/>
          <w:lang w:eastAsia="es-ES_tradnl"/>
        </w:rPr>
        <w:t xml:space="preserve"> puntos, y </w:t>
      </w:r>
      <w:proofErr w:type="spellStart"/>
      <w:r w:rsidRPr="00D468D8">
        <w:rPr>
          <w:rFonts w:cstheme="minorHAnsi"/>
          <w:lang w:eastAsia="es-ES_tradnl"/>
        </w:rPr>
        <w:t>Nationale</w:t>
      </w:r>
      <w:proofErr w:type="spellEnd"/>
      <w:r w:rsidRPr="00D468D8">
        <w:rPr>
          <w:rFonts w:cstheme="minorHAnsi"/>
          <w:lang w:eastAsia="es-ES_tradnl"/>
        </w:rPr>
        <w:t xml:space="preserve"> </w:t>
      </w:r>
      <w:proofErr w:type="spellStart"/>
      <w:r w:rsidRPr="00D468D8">
        <w:rPr>
          <w:rFonts w:cstheme="minorHAnsi"/>
          <w:lang w:eastAsia="es-ES_tradnl"/>
        </w:rPr>
        <w:t>Nederlanden</w:t>
      </w:r>
      <w:proofErr w:type="spellEnd"/>
      <w:r w:rsidRPr="00D468D8">
        <w:rPr>
          <w:rFonts w:cstheme="minorHAnsi"/>
          <w:lang w:eastAsia="es-ES_tradnl"/>
        </w:rPr>
        <w:t xml:space="preserve"> Vida, BBVA Seguros, Mutual Médica y Mutualidad de Procuradores, con </w:t>
      </w:r>
      <w:r w:rsidR="000B05A1">
        <w:rPr>
          <w:rFonts w:cstheme="minorHAnsi"/>
          <w:lang w:eastAsia="es-ES_tradnl"/>
        </w:rPr>
        <w:t>seis</w:t>
      </w:r>
      <w:r w:rsidRPr="00D468D8">
        <w:rPr>
          <w:rFonts w:cstheme="minorHAnsi"/>
          <w:lang w:eastAsia="es-ES_tradnl"/>
        </w:rPr>
        <w:t xml:space="preserve"> puntos</w:t>
      </w:r>
      <w:r w:rsidRPr="00D468D8">
        <w:rPr>
          <w:rFonts w:cstheme="minorHAnsi"/>
          <w:color w:val="000000" w:themeColor="text1"/>
          <w:lang w:eastAsia="es-ES_tradnl"/>
        </w:rPr>
        <w:t xml:space="preserve"> cada una, lejos todavía de alcanzar valoraciones atractivas. Las </w:t>
      </w:r>
      <w:r w:rsidR="000B05A1">
        <w:rPr>
          <w:rFonts w:cstheme="minorHAnsi"/>
          <w:color w:val="000000" w:themeColor="text1"/>
          <w:lang w:eastAsia="es-ES_tradnl"/>
        </w:rPr>
        <w:t>35</w:t>
      </w:r>
      <w:r w:rsidRPr="00D468D8">
        <w:rPr>
          <w:rFonts w:cstheme="minorHAnsi"/>
          <w:color w:val="000000" w:themeColor="text1"/>
          <w:lang w:eastAsia="es-ES_tradnl"/>
        </w:rPr>
        <w:t xml:space="preserve"> restantes se encuentran en zona de alto riesgo, obteniendo resultados muy pobres en los i</w:t>
      </w:r>
      <w:r w:rsidRPr="00D468D8">
        <w:rPr>
          <w:rFonts w:cstheme="minorHAnsi"/>
          <w:lang w:eastAsia="es-ES_tradnl"/>
        </w:rPr>
        <w:t>ndicadores aplicados.</w:t>
      </w:r>
    </w:p>
    <w:p w:rsidR="00A62841" w:rsidRPr="00D468D8" w:rsidRDefault="00A62841" w:rsidP="00C73FD9">
      <w:pPr>
        <w:jc w:val="both"/>
        <w:rPr>
          <w:rFonts w:cstheme="minorHAnsi"/>
          <w:lang w:eastAsia="es-ES_tradnl"/>
        </w:rPr>
      </w:pPr>
      <w:r w:rsidRPr="00D468D8">
        <w:rPr>
          <w:rFonts w:cstheme="minorHAnsi"/>
          <w:lang w:eastAsia="es-ES_tradnl"/>
        </w:rPr>
        <w:t>S</w:t>
      </w:r>
      <w:r w:rsidR="000B05A1">
        <w:rPr>
          <w:rFonts w:cstheme="minorHAnsi"/>
          <w:lang w:eastAsia="es-ES_tradnl"/>
        </w:rPr>
        <w:t>o</w:t>
      </w:r>
      <w:r w:rsidRPr="00D468D8">
        <w:rPr>
          <w:rFonts w:cstheme="minorHAnsi"/>
          <w:lang w:eastAsia="es-ES_tradnl"/>
        </w:rPr>
        <w:t>lo dos entidades explican públicamente de manera clara</w:t>
      </w:r>
      <w:r w:rsidR="000B05A1">
        <w:rPr>
          <w:rFonts w:cstheme="minorHAnsi"/>
          <w:lang w:eastAsia="es-ES_tradnl"/>
        </w:rPr>
        <w:t xml:space="preserve"> en su web</w:t>
      </w:r>
      <w:r w:rsidRPr="00D468D8">
        <w:rPr>
          <w:rFonts w:cstheme="minorHAnsi"/>
          <w:lang w:eastAsia="es-ES_tradnl"/>
        </w:rPr>
        <w:t xml:space="preserve"> los criterios en que basa</w:t>
      </w:r>
      <w:r w:rsidR="002B6DB8">
        <w:rPr>
          <w:rFonts w:cstheme="minorHAnsi"/>
          <w:lang w:eastAsia="es-ES_tradnl"/>
        </w:rPr>
        <w:t>n</w:t>
      </w:r>
      <w:r w:rsidRPr="00D468D8">
        <w:rPr>
          <w:rFonts w:cstheme="minorHAnsi"/>
          <w:lang w:eastAsia="es-ES_tradnl"/>
        </w:rPr>
        <w:t xml:space="preserve"> la </w:t>
      </w:r>
      <w:r w:rsidR="000C7D8D" w:rsidRPr="00D468D8">
        <w:rPr>
          <w:rFonts w:cstheme="minorHAnsi"/>
          <w:lang w:eastAsia="es-ES_tradnl"/>
        </w:rPr>
        <w:t xml:space="preserve">selección del revisor del ISFS: </w:t>
      </w:r>
      <w:proofErr w:type="spellStart"/>
      <w:r w:rsidRPr="00D468D8">
        <w:rPr>
          <w:rFonts w:cstheme="minorHAnsi"/>
          <w:lang w:eastAsia="es-ES_tradnl"/>
        </w:rPr>
        <w:t>Nationale</w:t>
      </w:r>
      <w:proofErr w:type="spellEnd"/>
      <w:r w:rsidRPr="00D468D8">
        <w:rPr>
          <w:rFonts w:cstheme="minorHAnsi"/>
          <w:lang w:eastAsia="es-ES_tradnl"/>
        </w:rPr>
        <w:t xml:space="preserve"> </w:t>
      </w:r>
      <w:proofErr w:type="spellStart"/>
      <w:r w:rsidRPr="00D468D8">
        <w:rPr>
          <w:rFonts w:cstheme="minorHAnsi"/>
          <w:lang w:eastAsia="es-ES_tradnl"/>
        </w:rPr>
        <w:t>Nederlanden</w:t>
      </w:r>
      <w:proofErr w:type="spellEnd"/>
      <w:r w:rsidRPr="00D468D8">
        <w:rPr>
          <w:rFonts w:cstheme="minorHAnsi"/>
          <w:lang w:eastAsia="es-ES_tradnl"/>
        </w:rPr>
        <w:t xml:space="preserve"> </w:t>
      </w:r>
      <w:r w:rsidR="000C7D8D" w:rsidRPr="00D468D8">
        <w:rPr>
          <w:rFonts w:cstheme="minorHAnsi"/>
          <w:lang w:eastAsia="es-ES_tradnl"/>
        </w:rPr>
        <w:t xml:space="preserve">Vida y </w:t>
      </w:r>
      <w:proofErr w:type="spellStart"/>
      <w:r w:rsidR="000C7D8D" w:rsidRPr="00D468D8">
        <w:rPr>
          <w:rFonts w:cstheme="minorHAnsi"/>
          <w:lang w:eastAsia="es-ES_tradnl"/>
        </w:rPr>
        <w:t>Reale</w:t>
      </w:r>
      <w:proofErr w:type="spellEnd"/>
      <w:r w:rsidR="000C7D8D" w:rsidRPr="00D468D8">
        <w:rPr>
          <w:rFonts w:cstheme="minorHAnsi"/>
          <w:lang w:eastAsia="es-ES_tradnl"/>
        </w:rPr>
        <w:t xml:space="preserve"> Seguros Generales</w:t>
      </w:r>
      <w:r w:rsidRPr="00D468D8">
        <w:rPr>
          <w:rFonts w:cstheme="minorHAnsi"/>
          <w:lang w:eastAsia="es-ES_tradnl"/>
        </w:rPr>
        <w:t xml:space="preserve">. Únicamente en </w:t>
      </w:r>
      <w:r w:rsidR="000B05A1">
        <w:rPr>
          <w:rFonts w:cstheme="minorHAnsi"/>
          <w:lang w:eastAsia="es-ES_tradnl"/>
        </w:rPr>
        <w:t>seis</w:t>
      </w:r>
      <w:r w:rsidRPr="00D468D8">
        <w:rPr>
          <w:rFonts w:cstheme="minorHAnsi"/>
          <w:lang w:eastAsia="es-ES_tradnl"/>
        </w:rPr>
        <w:t xml:space="preserve"> casos, </w:t>
      </w:r>
      <w:r w:rsidR="000B05A1">
        <w:rPr>
          <w:rFonts w:cstheme="minorHAnsi"/>
          <w:lang w:eastAsia="es-ES_tradnl"/>
        </w:rPr>
        <w:t>cuatro</w:t>
      </w:r>
      <w:r w:rsidRPr="00D468D8">
        <w:rPr>
          <w:rFonts w:cstheme="minorHAnsi"/>
          <w:lang w:eastAsia="es-ES_tradnl"/>
        </w:rPr>
        <w:t xml:space="preserve"> de ellos mutualidades, el auditor de cuentas y el rev</w:t>
      </w:r>
      <w:r w:rsidR="000C7D8D" w:rsidRPr="00D468D8">
        <w:rPr>
          <w:rFonts w:cstheme="minorHAnsi"/>
          <w:lang w:eastAsia="es-ES_tradnl"/>
        </w:rPr>
        <w:t xml:space="preserve">isor del </w:t>
      </w:r>
      <w:r w:rsidR="000C7D8D" w:rsidRPr="00D468D8">
        <w:rPr>
          <w:rFonts w:cstheme="minorHAnsi"/>
          <w:lang w:eastAsia="es-ES_tradnl"/>
        </w:rPr>
        <w:lastRenderedPageBreak/>
        <w:t xml:space="preserve">ISFS es diferente: </w:t>
      </w:r>
      <w:r w:rsidRPr="00D468D8">
        <w:rPr>
          <w:rFonts w:cstheme="minorHAnsi"/>
          <w:lang w:eastAsia="es-ES_tradnl"/>
        </w:rPr>
        <w:t xml:space="preserve">BBVA Seguros, </w:t>
      </w:r>
      <w:proofErr w:type="spellStart"/>
      <w:r w:rsidRPr="00D468D8">
        <w:rPr>
          <w:rFonts w:cstheme="minorHAnsi"/>
          <w:lang w:eastAsia="es-ES_tradnl"/>
        </w:rPr>
        <w:t>Santa</w:t>
      </w:r>
      <w:r w:rsidR="000B05A1">
        <w:rPr>
          <w:rFonts w:cstheme="minorHAnsi"/>
          <w:lang w:eastAsia="es-ES_tradnl"/>
        </w:rPr>
        <w:t>l</w:t>
      </w:r>
      <w:r w:rsidRPr="00D468D8">
        <w:rPr>
          <w:rFonts w:cstheme="minorHAnsi"/>
          <w:lang w:eastAsia="es-ES_tradnl"/>
        </w:rPr>
        <w:t>ucía</w:t>
      </w:r>
      <w:proofErr w:type="spellEnd"/>
      <w:r w:rsidRPr="00D468D8">
        <w:rPr>
          <w:rFonts w:cstheme="minorHAnsi"/>
          <w:lang w:eastAsia="es-ES_tradnl"/>
        </w:rPr>
        <w:t>, HNA, Mutual Médica, Loreto Mut</w:t>
      </w:r>
      <w:r w:rsidR="000C7D8D" w:rsidRPr="00D468D8">
        <w:rPr>
          <w:rFonts w:cstheme="minorHAnsi"/>
          <w:lang w:eastAsia="es-ES_tradnl"/>
        </w:rPr>
        <w:t>ua y Mutualidad de Procuradores</w:t>
      </w:r>
      <w:r w:rsidRPr="00D468D8">
        <w:rPr>
          <w:rFonts w:cstheme="minorHAnsi"/>
          <w:lang w:eastAsia="es-ES_tradnl"/>
        </w:rPr>
        <w:t>.</w:t>
      </w:r>
    </w:p>
    <w:p w:rsidR="00A62841" w:rsidRPr="00D468D8" w:rsidRDefault="00A62841" w:rsidP="00A62841">
      <w:pPr>
        <w:spacing w:before="120"/>
        <w:jc w:val="both"/>
        <w:rPr>
          <w:rFonts w:cstheme="minorHAnsi"/>
          <w:lang w:eastAsia="es-ES_tradnl"/>
        </w:rPr>
      </w:pPr>
      <w:r w:rsidRPr="00D468D8">
        <w:rPr>
          <w:rFonts w:cstheme="minorHAnsi"/>
          <w:lang w:eastAsia="es-ES_tradnl"/>
        </w:rPr>
        <w:t xml:space="preserve">En 34 de las 40 compañías </w:t>
      </w:r>
      <w:r w:rsidRPr="000B05A1">
        <w:rPr>
          <w:rFonts w:cstheme="minorHAnsi"/>
          <w:lang w:eastAsia="es-ES_tradnl"/>
        </w:rPr>
        <w:t>el revisor del ISFS lleva a cabo otros trabajos que podrían resultar en conflicto con dicha revisión,</w:t>
      </w:r>
      <w:r w:rsidRPr="00D468D8">
        <w:rPr>
          <w:rFonts w:cstheme="minorHAnsi"/>
          <w:lang w:eastAsia="es-ES_tradnl"/>
        </w:rPr>
        <w:t xml:space="preserve"> o</w:t>
      </w:r>
      <w:r w:rsidR="000C7D8D" w:rsidRPr="00D468D8">
        <w:rPr>
          <w:rFonts w:cstheme="minorHAnsi"/>
          <w:lang w:eastAsia="es-ES_tradnl"/>
        </w:rPr>
        <w:t xml:space="preserve"> bien no proporciona información alguna para poder evaluar este riesgo</w:t>
      </w:r>
      <w:r w:rsidRPr="00D468D8">
        <w:rPr>
          <w:rFonts w:cstheme="minorHAnsi"/>
          <w:lang w:eastAsia="es-ES_tradnl"/>
        </w:rPr>
        <w:t xml:space="preserve">. </w:t>
      </w:r>
      <w:r w:rsidRPr="000B05A1">
        <w:rPr>
          <w:rFonts w:cstheme="minorHAnsi"/>
          <w:b/>
          <w:lang w:eastAsia="es-ES_tradnl"/>
        </w:rPr>
        <w:t>En solo cinco compañías consta públicamente que el proveedor que revisa el ISFS no</w:t>
      </w:r>
      <w:r w:rsidR="000C7D8D" w:rsidRPr="000B05A1">
        <w:rPr>
          <w:rFonts w:cstheme="minorHAnsi"/>
          <w:b/>
          <w:lang w:eastAsia="es-ES_tradnl"/>
        </w:rPr>
        <w:t xml:space="preserve"> presta otro tipo de servicios:</w:t>
      </w:r>
      <w:r w:rsidR="000C7D8D" w:rsidRPr="00D468D8">
        <w:rPr>
          <w:rFonts w:cstheme="minorHAnsi"/>
          <w:lang w:eastAsia="es-ES_tradnl"/>
        </w:rPr>
        <w:t xml:space="preserve"> </w:t>
      </w:r>
      <w:r w:rsidRPr="00D468D8">
        <w:rPr>
          <w:rFonts w:cstheme="minorHAnsi"/>
          <w:lang w:eastAsia="es-ES_tradnl"/>
        </w:rPr>
        <w:t xml:space="preserve">AXA Aurora Vida, </w:t>
      </w:r>
      <w:proofErr w:type="spellStart"/>
      <w:r w:rsidRPr="00D468D8">
        <w:rPr>
          <w:rFonts w:cstheme="minorHAnsi"/>
          <w:lang w:eastAsia="es-ES_tradnl"/>
        </w:rPr>
        <w:t>Nationale</w:t>
      </w:r>
      <w:proofErr w:type="spellEnd"/>
      <w:r w:rsidRPr="00D468D8">
        <w:rPr>
          <w:rFonts w:cstheme="minorHAnsi"/>
          <w:lang w:eastAsia="es-ES_tradnl"/>
        </w:rPr>
        <w:t xml:space="preserve"> </w:t>
      </w:r>
      <w:proofErr w:type="spellStart"/>
      <w:r w:rsidRPr="00D468D8">
        <w:rPr>
          <w:rFonts w:cstheme="minorHAnsi"/>
          <w:lang w:eastAsia="es-ES_tradnl"/>
        </w:rPr>
        <w:t>Neder</w:t>
      </w:r>
      <w:r w:rsidR="000B05A1">
        <w:rPr>
          <w:rFonts w:cstheme="minorHAnsi"/>
          <w:lang w:eastAsia="es-ES_tradnl"/>
        </w:rPr>
        <w:t>landen</w:t>
      </w:r>
      <w:proofErr w:type="spellEnd"/>
      <w:r w:rsidR="000B05A1">
        <w:rPr>
          <w:rFonts w:cstheme="minorHAnsi"/>
          <w:lang w:eastAsia="es-ES_tradnl"/>
        </w:rPr>
        <w:t xml:space="preserve">, AXA Seguros Generales, </w:t>
      </w:r>
      <w:r w:rsidRPr="00D468D8">
        <w:rPr>
          <w:rFonts w:cstheme="minorHAnsi"/>
          <w:lang w:eastAsia="es-ES_tradnl"/>
        </w:rPr>
        <w:t>Gen</w:t>
      </w:r>
      <w:r w:rsidR="000C7D8D" w:rsidRPr="00D468D8">
        <w:rPr>
          <w:rFonts w:cstheme="minorHAnsi"/>
          <w:lang w:eastAsia="es-ES_tradnl"/>
        </w:rPr>
        <w:t xml:space="preserve">erali Seguros y </w:t>
      </w:r>
      <w:proofErr w:type="spellStart"/>
      <w:r w:rsidR="000C7D8D" w:rsidRPr="00D468D8">
        <w:rPr>
          <w:rFonts w:cstheme="minorHAnsi"/>
          <w:lang w:eastAsia="es-ES_tradnl"/>
        </w:rPr>
        <w:t>Liberty</w:t>
      </w:r>
      <w:proofErr w:type="spellEnd"/>
      <w:r w:rsidR="000C7D8D" w:rsidRPr="00D468D8">
        <w:rPr>
          <w:rFonts w:cstheme="minorHAnsi"/>
          <w:lang w:eastAsia="es-ES_tradnl"/>
        </w:rPr>
        <w:t xml:space="preserve"> Seguros</w:t>
      </w:r>
      <w:r w:rsidRPr="00D468D8">
        <w:rPr>
          <w:rFonts w:cstheme="minorHAnsi"/>
          <w:lang w:eastAsia="es-ES_tradnl"/>
        </w:rPr>
        <w:t>.</w:t>
      </w:r>
    </w:p>
    <w:p w:rsidR="000C7D8D" w:rsidRPr="00D468D8" w:rsidRDefault="000C7D8D" w:rsidP="00A62841">
      <w:pPr>
        <w:spacing w:before="120"/>
        <w:jc w:val="both"/>
        <w:rPr>
          <w:rFonts w:cstheme="minorHAnsi"/>
          <w:lang w:eastAsia="es-ES_tradnl"/>
        </w:rPr>
      </w:pPr>
      <w:r w:rsidRPr="00D468D8">
        <w:rPr>
          <w:rFonts w:cstheme="minorHAnsi"/>
        </w:rPr>
        <w:t>Como señalan los autores del informe</w:t>
      </w:r>
      <w:r w:rsidR="002B6DB8">
        <w:rPr>
          <w:rFonts w:cstheme="minorHAnsi"/>
        </w:rPr>
        <w:t>,</w:t>
      </w:r>
      <w:bookmarkStart w:id="0" w:name="_GoBack"/>
      <w:bookmarkEnd w:id="0"/>
      <w:r w:rsidR="000B05A1">
        <w:rPr>
          <w:rFonts w:cstheme="minorHAnsi"/>
        </w:rPr>
        <w:t xml:space="preserve"> Javier Martín Cavanna y </w:t>
      </w:r>
      <w:r w:rsidR="000B05A1" w:rsidRPr="000B05A1">
        <w:rPr>
          <w:rFonts w:cstheme="minorHAnsi"/>
        </w:rPr>
        <w:t>Concepción Sacristán</w:t>
      </w:r>
      <w:r w:rsidRPr="00D468D8">
        <w:rPr>
          <w:rFonts w:cstheme="minorHAnsi"/>
        </w:rPr>
        <w:t>: “Al margen de consideraciones sobre las contradicciones de mayor o menor calado en las que pueda incurrir la normativa de revisión del ISFS, la problemática que subyace en este tipo de prácticas está íntimamente ligada a cuestiones que van más allá del mero cumplimiento normativo, como son la ética en la gestión, el reforzamiento de las medidas de control y el aseguramiento de los principios de independencia por los que deben velar los sistemas de gobierno de las entidades”.</w:t>
      </w:r>
    </w:p>
    <w:p w:rsidR="000C7D8D" w:rsidRPr="00D468D8" w:rsidRDefault="000C7D8D" w:rsidP="00A62841">
      <w:pPr>
        <w:spacing w:before="120"/>
        <w:jc w:val="both"/>
        <w:rPr>
          <w:rFonts w:cstheme="minorHAnsi"/>
          <w:lang w:eastAsia="es-ES_tradnl"/>
        </w:rPr>
      </w:pPr>
      <w:r w:rsidRPr="00D468D8">
        <w:rPr>
          <w:rFonts w:cstheme="minorHAnsi"/>
          <w:lang w:eastAsia="es-ES_tradnl"/>
        </w:rPr>
        <w:t>El informe también llama la atención del “relajamiento” que se produjo en la redacción de las circulares de la Dirección General de Seguros a la hora de seleccionar a los expertos que debían r</w:t>
      </w:r>
      <w:r w:rsidR="000B05A1">
        <w:rPr>
          <w:rFonts w:cstheme="minorHAnsi"/>
          <w:lang w:eastAsia="es-ES_tradnl"/>
        </w:rPr>
        <w:t>evisar el “informe de solvencia</w:t>
      </w:r>
      <w:r w:rsidRPr="00D468D8">
        <w:rPr>
          <w:rFonts w:cstheme="minorHAnsi"/>
          <w:lang w:eastAsia="es-ES_tradnl"/>
        </w:rPr>
        <w:t>”</w:t>
      </w:r>
      <w:r w:rsidR="000B05A1">
        <w:rPr>
          <w:rFonts w:cstheme="minorHAnsi"/>
          <w:lang w:eastAsia="es-ES_tradnl"/>
        </w:rPr>
        <w:t>.</w:t>
      </w:r>
      <w:r w:rsidRPr="00D468D8">
        <w:rPr>
          <w:rFonts w:cstheme="minorHAnsi"/>
          <w:lang w:eastAsia="es-ES_tradnl"/>
        </w:rPr>
        <w:t xml:space="preserve"> Así como en la primera redacción no se considerab</w:t>
      </w:r>
      <w:r w:rsidR="000B05A1">
        <w:rPr>
          <w:rFonts w:cstheme="minorHAnsi"/>
          <w:lang w:eastAsia="es-ES_tradnl"/>
        </w:rPr>
        <w:t>a</w:t>
      </w:r>
      <w:r w:rsidRPr="00D468D8">
        <w:rPr>
          <w:rFonts w:cstheme="minorHAnsi"/>
          <w:lang w:eastAsia="es-ES_tradnl"/>
        </w:rPr>
        <w:t xml:space="preserve"> imprescindible la figura del auditor y s</w:t>
      </w:r>
      <w:r w:rsidR="000B05A1">
        <w:rPr>
          <w:rFonts w:cstheme="minorHAnsi"/>
          <w:lang w:eastAsia="es-ES_tradnl"/>
        </w:rPr>
        <w:t>í la del actuario de seguro</w:t>
      </w:r>
      <w:r w:rsidRPr="00D468D8">
        <w:rPr>
          <w:rFonts w:cstheme="minorHAnsi"/>
          <w:lang w:eastAsia="es-ES_tradnl"/>
        </w:rPr>
        <w:t>s, en la redacción definitiva sí se exigió, finalmente, el concurso de ambos perfiles, lo que hace sospechar la posible existencia de una corriente de presión en favor de la inclusión de este último enfoque por parte de las sociedades auditoras.</w:t>
      </w:r>
    </w:p>
    <w:p w:rsidR="000C7D8D" w:rsidRPr="00D468D8" w:rsidRDefault="000C7D8D" w:rsidP="00A62841">
      <w:pPr>
        <w:spacing w:before="120"/>
        <w:jc w:val="both"/>
        <w:rPr>
          <w:rFonts w:cstheme="minorHAnsi"/>
          <w:lang w:eastAsia="es-ES_tradnl"/>
        </w:rPr>
      </w:pPr>
    </w:p>
    <w:p w:rsidR="000B05A1" w:rsidRPr="00C02C51" w:rsidRDefault="000B05A1" w:rsidP="000B05A1">
      <w:pPr>
        <w:jc w:val="both"/>
        <w:rPr>
          <w:rFonts w:cstheme="minorHAnsi"/>
          <w:b/>
          <w:color w:val="595959"/>
          <w:sz w:val="16"/>
          <w:u w:val="single"/>
        </w:rPr>
      </w:pPr>
      <w:r w:rsidRPr="00C02C51">
        <w:rPr>
          <w:rFonts w:cstheme="minorHAnsi"/>
          <w:b/>
          <w:color w:val="595959"/>
          <w:sz w:val="16"/>
          <w:u w:val="single"/>
        </w:rPr>
        <w:t>Acerca de Fundación Compromiso y Transparencia</w:t>
      </w:r>
    </w:p>
    <w:p w:rsidR="000B05A1" w:rsidRPr="00C02C51" w:rsidRDefault="000B05A1" w:rsidP="000B05A1">
      <w:pPr>
        <w:jc w:val="both"/>
        <w:rPr>
          <w:rFonts w:cstheme="minorHAnsi"/>
          <w:b/>
          <w:color w:val="595959"/>
          <w:sz w:val="16"/>
          <w:u w:val="single"/>
        </w:rPr>
      </w:pPr>
      <w:r w:rsidRPr="00C02C51">
        <w:rPr>
          <w:rFonts w:cstheme="minorHAnsi"/>
          <w:color w:val="595959"/>
          <w:sz w:val="16"/>
        </w:rPr>
        <w:t>La Fundación Compromiso y Transparencia se constituyó en el año 2007 por un grupo de profesionales procedentes del mundo de la empresa, de la academia y del sector no lucrativo con la finalidad de f</w:t>
      </w:r>
      <w:r w:rsidRPr="00C02C51">
        <w:rPr>
          <w:rFonts w:cstheme="minorHAnsi"/>
          <w:iCs/>
          <w:color w:val="595959"/>
          <w:sz w:val="16"/>
        </w:rPr>
        <w:t>ortalecer la confianza de la sociedad en las instituciones y empresas promoviendo la transparencia, el buen gobierno y el compromiso social</w:t>
      </w:r>
      <w:r w:rsidRPr="00C02C51">
        <w:rPr>
          <w:rFonts w:cstheme="minorHAnsi"/>
          <w:color w:val="595959"/>
          <w:sz w:val="16"/>
        </w:rPr>
        <w:t xml:space="preserve">. Página web </w:t>
      </w:r>
      <w:hyperlink r:id="rId8" w:history="1">
        <w:r w:rsidRPr="00C02C51">
          <w:rPr>
            <w:rStyle w:val="Hyperlink"/>
            <w:rFonts w:cstheme="minorHAnsi"/>
            <w:sz w:val="16"/>
          </w:rPr>
          <w:t>www.compromisoytransparencia.com</w:t>
        </w:r>
      </w:hyperlink>
      <w:r w:rsidRPr="00C02C51">
        <w:rPr>
          <w:rFonts w:cstheme="minorHAnsi"/>
          <w:color w:val="595959"/>
          <w:sz w:val="16"/>
        </w:rPr>
        <w:t xml:space="preserve"> </w:t>
      </w:r>
    </w:p>
    <w:p w:rsidR="000B05A1" w:rsidRPr="00C02C51" w:rsidRDefault="000B05A1" w:rsidP="000B05A1">
      <w:pPr>
        <w:pStyle w:val="ListParagraph"/>
        <w:rPr>
          <w:rFonts w:cstheme="minorHAnsi"/>
          <w:b/>
          <w:color w:val="595959"/>
          <w:sz w:val="16"/>
          <w:u w:val="single"/>
        </w:rPr>
      </w:pPr>
    </w:p>
    <w:p w:rsidR="00A62841" w:rsidRPr="000B05A1" w:rsidRDefault="000B05A1" w:rsidP="000B05A1">
      <w:pPr>
        <w:rPr>
          <w:rFonts w:cstheme="minorHAnsi"/>
          <w:b/>
          <w:color w:val="595959"/>
          <w:sz w:val="16"/>
          <w:u w:val="single"/>
        </w:rPr>
      </w:pPr>
      <w:r w:rsidRPr="00C02C51">
        <w:rPr>
          <w:rFonts w:cstheme="minorHAnsi"/>
          <w:b/>
          <w:color w:val="595959"/>
          <w:sz w:val="16"/>
          <w:u w:val="single"/>
        </w:rPr>
        <w:t>Más información</w:t>
      </w:r>
      <w:r w:rsidRPr="00C02C51">
        <w:rPr>
          <w:rFonts w:cstheme="minorHAnsi"/>
          <w:b/>
          <w:color w:val="595959"/>
          <w:sz w:val="16"/>
          <w:u w:val="single"/>
        </w:rPr>
        <w:br/>
      </w:r>
      <w:r w:rsidRPr="00C02C51">
        <w:rPr>
          <w:rFonts w:cstheme="minorHAnsi"/>
          <w:color w:val="595959"/>
          <w:sz w:val="16"/>
        </w:rPr>
        <w:t>Esther Barrio</w:t>
      </w:r>
      <w:r w:rsidRPr="00C02C51">
        <w:rPr>
          <w:rFonts w:cstheme="minorHAnsi"/>
          <w:color w:val="595959"/>
          <w:sz w:val="16"/>
        </w:rPr>
        <w:br/>
      </w:r>
      <w:hyperlink r:id="rId9" w:history="1">
        <w:r w:rsidRPr="00C02C51">
          <w:rPr>
            <w:rStyle w:val="Hyperlink"/>
            <w:rFonts w:cstheme="minorHAnsi"/>
            <w:color w:val="595959"/>
            <w:sz w:val="16"/>
          </w:rPr>
          <w:t>compromisoempresarial@compromisoempresarial.com</w:t>
        </w:r>
      </w:hyperlink>
      <w:r w:rsidRPr="00C02C51">
        <w:rPr>
          <w:rFonts w:cstheme="minorHAnsi"/>
          <w:color w:val="595959"/>
          <w:sz w:val="16"/>
        </w:rPr>
        <w:br/>
      </w:r>
      <w:hyperlink r:id="rId10" w:history="1">
        <w:r w:rsidRPr="00C02C51">
          <w:rPr>
            <w:rStyle w:val="Hyperlink"/>
            <w:rFonts w:cstheme="minorHAnsi"/>
            <w:color w:val="595959"/>
            <w:sz w:val="16"/>
          </w:rPr>
          <w:t>ebarrio@compromisoempresarial.com</w:t>
        </w:r>
      </w:hyperlink>
      <w:r w:rsidRPr="00C02C51">
        <w:rPr>
          <w:rFonts w:cstheme="minorHAnsi"/>
          <w:color w:val="595959"/>
          <w:sz w:val="16"/>
        </w:rPr>
        <w:br/>
        <w:t>Teléfono: 650 38 23 35</w:t>
      </w:r>
    </w:p>
    <w:sectPr w:rsidR="00A62841" w:rsidRPr="000B05A1">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42" w:rsidRDefault="00943042" w:rsidP="00D468D8">
      <w:pPr>
        <w:spacing w:after="0" w:line="240" w:lineRule="auto"/>
      </w:pPr>
      <w:r>
        <w:separator/>
      </w:r>
    </w:p>
  </w:endnote>
  <w:endnote w:type="continuationSeparator" w:id="0">
    <w:p w:rsidR="00943042" w:rsidRDefault="00943042" w:rsidP="00D4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42" w:rsidRDefault="00943042" w:rsidP="00D468D8">
      <w:pPr>
        <w:spacing w:after="0" w:line="240" w:lineRule="auto"/>
      </w:pPr>
      <w:r>
        <w:separator/>
      </w:r>
    </w:p>
  </w:footnote>
  <w:footnote w:type="continuationSeparator" w:id="0">
    <w:p w:rsidR="00943042" w:rsidRDefault="00943042" w:rsidP="00D46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D8" w:rsidRPr="00234961" w:rsidRDefault="00D468D8" w:rsidP="00D468D8">
    <w:pPr>
      <w:pStyle w:val="Header"/>
      <w:rPr>
        <w:rFonts w:cstheme="minorHAnsi"/>
        <w:b/>
      </w:rPr>
    </w:pPr>
    <w:r w:rsidRPr="00234961">
      <w:rPr>
        <w:rFonts w:cstheme="minorHAnsi"/>
        <w:b/>
        <w:noProof/>
        <w:lang w:eastAsia="es-ES"/>
      </w:rPr>
      <w:drawing>
        <wp:anchor distT="0" distB="0" distL="114300" distR="114300" simplePos="0" relativeHeight="251659264" behindDoc="0" locked="0" layoutInCell="1" allowOverlap="1" wp14:anchorId="5F3E706F" wp14:editId="796C3E71">
          <wp:simplePos x="0" y="0"/>
          <wp:positionH relativeFrom="margin">
            <wp:align>right</wp:align>
          </wp:positionH>
          <wp:positionV relativeFrom="paragraph">
            <wp:posOffset>-195483</wp:posOffset>
          </wp:positionV>
          <wp:extent cx="1375410" cy="389890"/>
          <wp:effectExtent l="0" t="0" r="0" b="0"/>
          <wp:wrapSquare wrapText="bothSides"/>
          <wp:docPr id="2" name="Imagen 2"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1375410" cy="389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4961">
      <w:rPr>
        <w:rFonts w:cstheme="minorHAnsi"/>
        <w:b/>
      </w:rPr>
      <w:t>NOTA DE PRENSA</w:t>
    </w:r>
  </w:p>
  <w:p w:rsidR="00D468D8" w:rsidRPr="00D468D8" w:rsidRDefault="00D468D8" w:rsidP="00D46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1383"/>
    <w:multiLevelType w:val="hybridMultilevel"/>
    <w:tmpl w:val="97202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E877E5"/>
    <w:multiLevelType w:val="hybridMultilevel"/>
    <w:tmpl w:val="A2E47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D9"/>
    <w:rsid w:val="00004B67"/>
    <w:rsid w:val="00090F92"/>
    <w:rsid w:val="000B05A1"/>
    <w:rsid w:val="000C7D8D"/>
    <w:rsid w:val="002B6DB8"/>
    <w:rsid w:val="004D7A5A"/>
    <w:rsid w:val="005906A6"/>
    <w:rsid w:val="0069147F"/>
    <w:rsid w:val="008240DB"/>
    <w:rsid w:val="00943042"/>
    <w:rsid w:val="00963443"/>
    <w:rsid w:val="00A62841"/>
    <w:rsid w:val="00C0396A"/>
    <w:rsid w:val="00C73FD9"/>
    <w:rsid w:val="00D468D8"/>
    <w:rsid w:val="00DB3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6F07B-DA1E-4E15-94AB-8383EE27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FD9"/>
    <w:pPr>
      <w:ind w:left="720"/>
      <w:contextualSpacing/>
    </w:pPr>
  </w:style>
  <w:style w:type="paragraph" w:styleId="Header">
    <w:name w:val="header"/>
    <w:basedOn w:val="Normal"/>
    <w:link w:val="HeaderChar"/>
    <w:uiPriority w:val="99"/>
    <w:unhideWhenUsed/>
    <w:rsid w:val="00D468D8"/>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68D8"/>
  </w:style>
  <w:style w:type="paragraph" w:styleId="Footer">
    <w:name w:val="footer"/>
    <w:basedOn w:val="Normal"/>
    <w:link w:val="FooterChar"/>
    <w:uiPriority w:val="99"/>
    <w:unhideWhenUsed/>
    <w:rsid w:val="00D468D8"/>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68D8"/>
  </w:style>
  <w:style w:type="character" w:styleId="Hyperlink">
    <w:name w:val="Hyperlink"/>
    <w:basedOn w:val="DefaultParagraphFont"/>
    <w:uiPriority w:val="99"/>
    <w:unhideWhenUsed/>
    <w:rsid w:val="00D46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omisoytransparenc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omisoytransparenc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arrio@compromisoempresarial.com" TargetMode="External"/><Relationship Id="rId4" Type="http://schemas.openxmlformats.org/officeDocument/2006/relationships/webSettings" Target="webSettings.xml"/><Relationship Id="rId9" Type="http://schemas.openxmlformats.org/officeDocument/2006/relationships/hyperlink" Target="mailto:compromisoempresarial@compromisoempresar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868</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esther Barrio Medina</cp:lastModifiedBy>
  <cp:revision>6</cp:revision>
  <dcterms:created xsi:type="dcterms:W3CDTF">2018-06-06T17:58:00Z</dcterms:created>
  <dcterms:modified xsi:type="dcterms:W3CDTF">2018-06-18T14:29:00Z</dcterms:modified>
</cp:coreProperties>
</file>