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89AB8" w14:textId="77777777" w:rsidR="00700076" w:rsidRPr="00F00092" w:rsidRDefault="00700076" w:rsidP="007C49FA">
      <w:pPr>
        <w:jc w:val="center"/>
        <w:rPr>
          <w:rFonts w:cs="Times New Roman"/>
          <w:szCs w:val="24"/>
        </w:rPr>
      </w:pPr>
      <w:r w:rsidRPr="001A06DD">
        <w:rPr>
          <w:rFonts w:cs="Times New Roman"/>
          <w:szCs w:val="24"/>
        </w:rPr>
        <w:t>Según</w:t>
      </w:r>
      <w:r w:rsidRPr="00221991">
        <w:rPr>
          <w:rFonts w:cs="Times New Roman"/>
          <w:szCs w:val="24"/>
        </w:rPr>
        <w:t xml:space="preserve"> </w:t>
      </w:r>
      <w:r w:rsidR="007A018D">
        <w:rPr>
          <w:rFonts w:cs="Times New Roman"/>
          <w:szCs w:val="24"/>
        </w:rPr>
        <w:t>e</w:t>
      </w:r>
      <w:r w:rsidR="00F00092">
        <w:rPr>
          <w:rFonts w:cs="Times New Roman"/>
          <w:szCs w:val="24"/>
        </w:rPr>
        <w:t xml:space="preserve">l </w:t>
      </w:r>
      <w:r w:rsidR="007A018D">
        <w:rPr>
          <w:rFonts w:cs="Times New Roman"/>
          <w:szCs w:val="24"/>
        </w:rPr>
        <w:t>primer</w:t>
      </w:r>
      <w:r w:rsidR="00F00092">
        <w:rPr>
          <w:rFonts w:cs="Times New Roman"/>
          <w:szCs w:val="24"/>
        </w:rPr>
        <w:t xml:space="preserve"> informe </w:t>
      </w:r>
      <w:r w:rsidR="007A018D">
        <w:rPr>
          <w:rFonts w:cs="Times New Roman"/>
          <w:i/>
          <w:szCs w:val="24"/>
        </w:rPr>
        <w:t>Carrera y talento sénior</w:t>
      </w:r>
      <w:r w:rsidR="00F00092">
        <w:rPr>
          <w:rFonts w:cs="Times New Roman"/>
          <w:i/>
          <w:szCs w:val="24"/>
        </w:rPr>
        <w:t xml:space="preserve"> </w:t>
      </w:r>
      <w:r w:rsidR="00F00092">
        <w:rPr>
          <w:rFonts w:cs="Times New Roman"/>
          <w:szCs w:val="24"/>
        </w:rPr>
        <w:t>de Compromiso y Transparencia</w:t>
      </w:r>
    </w:p>
    <w:p w14:paraId="42347742" w14:textId="77777777" w:rsidR="00255B02" w:rsidRPr="00174988" w:rsidRDefault="00670C21" w:rsidP="008D79AE">
      <w:pPr>
        <w:jc w:val="center"/>
        <w:rPr>
          <w:b/>
          <w:sz w:val="32"/>
        </w:rPr>
      </w:pPr>
      <w:r>
        <w:rPr>
          <w:b/>
          <w:sz w:val="32"/>
        </w:rPr>
        <w:t>El 71%</w:t>
      </w:r>
      <w:r w:rsidR="007A018D">
        <w:rPr>
          <w:b/>
          <w:sz w:val="32"/>
        </w:rPr>
        <w:t xml:space="preserve"> de</w:t>
      </w:r>
      <w:r w:rsidR="008D79AE">
        <w:rPr>
          <w:b/>
          <w:sz w:val="32"/>
        </w:rPr>
        <w:t xml:space="preserve"> empresas del IBEX 35 se olvida</w:t>
      </w:r>
      <w:r w:rsidR="007A018D">
        <w:rPr>
          <w:b/>
          <w:sz w:val="32"/>
        </w:rPr>
        <w:t xml:space="preserve"> del talento sénior</w:t>
      </w:r>
    </w:p>
    <w:p w14:paraId="71D006D3" w14:textId="77777777" w:rsidR="007A018D" w:rsidRDefault="007A018D" w:rsidP="002626FC">
      <w:pPr>
        <w:pStyle w:val="ListParagraph"/>
        <w:numPr>
          <w:ilvl w:val="0"/>
          <w:numId w:val="3"/>
        </w:numPr>
        <w:jc w:val="both"/>
        <w:rPr>
          <w:i/>
        </w:rPr>
      </w:pPr>
      <w:r w:rsidRPr="007A018D">
        <w:rPr>
          <w:i/>
        </w:rPr>
        <w:t xml:space="preserve">El informe </w:t>
      </w:r>
      <w:r>
        <w:rPr>
          <w:i/>
        </w:rPr>
        <w:t>‘</w:t>
      </w:r>
      <w:r w:rsidRPr="007A018D">
        <w:rPr>
          <w:i/>
        </w:rPr>
        <w:t>Carrera y talento sénior</w:t>
      </w:r>
      <w:r>
        <w:rPr>
          <w:i/>
        </w:rPr>
        <w:t xml:space="preserve">’ </w:t>
      </w:r>
      <w:r w:rsidR="008E284A" w:rsidRPr="0069067B">
        <w:rPr>
          <w:i/>
        </w:rPr>
        <w:t xml:space="preserve">denuncia el abandono y </w:t>
      </w:r>
      <w:r w:rsidR="0069067B" w:rsidRPr="0069067B">
        <w:rPr>
          <w:i/>
        </w:rPr>
        <w:t>la discriminación del talento sé</w:t>
      </w:r>
      <w:r w:rsidR="008E284A" w:rsidRPr="0069067B">
        <w:rPr>
          <w:i/>
        </w:rPr>
        <w:t>nior en las empresas del IBEX 35</w:t>
      </w:r>
    </w:p>
    <w:p w14:paraId="54A2C36A" w14:textId="77777777" w:rsidR="007E48D4" w:rsidRPr="002626FC" w:rsidRDefault="007E48D4" w:rsidP="007E48D4">
      <w:pPr>
        <w:pStyle w:val="ListParagraph"/>
        <w:jc w:val="both"/>
        <w:rPr>
          <w:i/>
        </w:rPr>
      </w:pPr>
    </w:p>
    <w:p w14:paraId="032F8F9B" w14:textId="77777777" w:rsidR="00F66689" w:rsidRDefault="008E284A" w:rsidP="007F1544">
      <w:pPr>
        <w:pStyle w:val="ListParagraph"/>
        <w:numPr>
          <w:ilvl w:val="0"/>
          <w:numId w:val="3"/>
        </w:numPr>
        <w:jc w:val="both"/>
        <w:rPr>
          <w:i/>
        </w:rPr>
      </w:pPr>
      <w:r w:rsidRPr="0069067B">
        <w:rPr>
          <w:i/>
        </w:rPr>
        <w:t>Una visión cortoplacista</w:t>
      </w:r>
      <w:r w:rsidR="002626FC" w:rsidRPr="0069067B">
        <w:rPr>
          <w:i/>
        </w:rPr>
        <w:t xml:space="preserve"> en la reducción de costes</w:t>
      </w:r>
      <w:r w:rsidRPr="0069067B">
        <w:rPr>
          <w:i/>
        </w:rPr>
        <w:t xml:space="preserve"> y la existencia de sesgos</w:t>
      </w:r>
      <w:r w:rsidR="002626FC" w:rsidRPr="0069067B">
        <w:rPr>
          <w:i/>
        </w:rPr>
        <w:t xml:space="preserve"> ante l</w:t>
      </w:r>
      <w:r w:rsidR="006D0949" w:rsidRPr="0069067B">
        <w:rPr>
          <w:i/>
        </w:rPr>
        <w:t xml:space="preserve">os retos tecnológicos </w:t>
      </w:r>
      <w:r w:rsidR="002626FC" w:rsidRPr="0069067B">
        <w:rPr>
          <w:i/>
        </w:rPr>
        <w:t>está contribuyendo a descapitalizar</w:t>
      </w:r>
      <w:r w:rsidRPr="0069067B">
        <w:rPr>
          <w:i/>
        </w:rPr>
        <w:t xml:space="preserve"> </w:t>
      </w:r>
      <w:r w:rsidR="002626FC" w:rsidRPr="0069067B">
        <w:rPr>
          <w:i/>
        </w:rPr>
        <w:t xml:space="preserve">progresivamente </w:t>
      </w:r>
      <w:r w:rsidRPr="0069067B">
        <w:rPr>
          <w:i/>
        </w:rPr>
        <w:t>la</w:t>
      </w:r>
      <w:r w:rsidR="006D0949" w:rsidRPr="0069067B">
        <w:rPr>
          <w:i/>
        </w:rPr>
        <w:t>s</w:t>
      </w:r>
      <w:r w:rsidRPr="0069067B">
        <w:rPr>
          <w:i/>
        </w:rPr>
        <w:t xml:space="preserve"> empresa</w:t>
      </w:r>
      <w:r w:rsidR="006D0949" w:rsidRPr="0069067B">
        <w:rPr>
          <w:i/>
        </w:rPr>
        <w:t>s</w:t>
      </w:r>
    </w:p>
    <w:p w14:paraId="52A4D578" w14:textId="77777777" w:rsidR="006955E8" w:rsidRDefault="006955E8" w:rsidP="006955E8">
      <w:pPr>
        <w:pStyle w:val="ListParagraph"/>
        <w:jc w:val="both"/>
        <w:rPr>
          <w:i/>
        </w:rPr>
      </w:pPr>
    </w:p>
    <w:p w14:paraId="189E443A" w14:textId="77777777" w:rsidR="00223B1E" w:rsidRPr="00223B1E" w:rsidRDefault="006955E8" w:rsidP="00223B1E">
      <w:pPr>
        <w:pStyle w:val="ListParagraph"/>
        <w:numPr>
          <w:ilvl w:val="0"/>
          <w:numId w:val="3"/>
        </w:numPr>
        <w:jc w:val="both"/>
        <w:rPr>
          <w:i/>
        </w:rPr>
      </w:pPr>
      <w:r w:rsidRPr="006955E8">
        <w:rPr>
          <w:i/>
        </w:rPr>
        <w:t>En este escenario, se abren grandes oportunidades para promover el reconocimiento y e</w:t>
      </w:r>
      <w:r>
        <w:rPr>
          <w:i/>
        </w:rPr>
        <w:t>l aprovechamiento del talento sé</w:t>
      </w:r>
      <w:r w:rsidRPr="006955E8">
        <w:rPr>
          <w:i/>
        </w:rPr>
        <w:t>nior, con ejemplos de buenas prácticas a seguir ya operativas.</w:t>
      </w:r>
    </w:p>
    <w:p w14:paraId="0AAC1135" w14:textId="2A4E9104" w:rsidR="00670C21" w:rsidRDefault="00700076" w:rsidP="003002D8">
      <w:pPr>
        <w:jc w:val="both"/>
      </w:pPr>
      <w:r w:rsidRPr="00294DFA">
        <w:rPr>
          <w:b/>
        </w:rPr>
        <w:t xml:space="preserve">Madrid, </w:t>
      </w:r>
      <w:r w:rsidR="00670C21">
        <w:rPr>
          <w:b/>
        </w:rPr>
        <w:t>4</w:t>
      </w:r>
      <w:r w:rsidRPr="00294DFA">
        <w:rPr>
          <w:b/>
        </w:rPr>
        <w:t xml:space="preserve"> de </w:t>
      </w:r>
      <w:r w:rsidR="00670C21">
        <w:rPr>
          <w:b/>
        </w:rPr>
        <w:t>junio</w:t>
      </w:r>
      <w:r w:rsidRPr="00294DFA">
        <w:rPr>
          <w:b/>
        </w:rPr>
        <w:t xml:space="preserve"> de 201</w:t>
      </w:r>
      <w:r w:rsidR="00F00092">
        <w:rPr>
          <w:b/>
        </w:rPr>
        <w:t>9</w:t>
      </w:r>
      <w:r w:rsidRPr="00294DFA">
        <w:rPr>
          <w:b/>
        </w:rPr>
        <w:t>.</w:t>
      </w:r>
      <w:r w:rsidRPr="00294DFA">
        <w:t xml:space="preserve"> </w:t>
      </w:r>
      <w:r w:rsidR="004777A3">
        <w:t>L</w:t>
      </w:r>
      <w:r w:rsidR="00670C21">
        <w:t xml:space="preserve">a gran mayoría de las empresas cotizadas, </w:t>
      </w:r>
      <w:r w:rsidR="00670C21" w:rsidRPr="004F4FC4">
        <w:rPr>
          <w:b/>
        </w:rPr>
        <w:t>el 71%,</w:t>
      </w:r>
      <w:r w:rsidR="001A1F87" w:rsidRPr="004F4FC4">
        <w:rPr>
          <w:b/>
        </w:rPr>
        <w:t xml:space="preserve"> presta</w:t>
      </w:r>
      <w:r w:rsidR="00670C21" w:rsidRPr="004F4FC4">
        <w:rPr>
          <w:b/>
        </w:rPr>
        <w:t xml:space="preserve"> muy poca atención o nula a</w:t>
      </w:r>
      <w:r w:rsidR="008D79AE" w:rsidRPr="004F4FC4">
        <w:rPr>
          <w:b/>
        </w:rPr>
        <w:t xml:space="preserve"> los </w:t>
      </w:r>
      <w:r w:rsidR="006955E8" w:rsidRPr="004F4FC4">
        <w:rPr>
          <w:b/>
        </w:rPr>
        <w:t>empleados</w:t>
      </w:r>
      <w:r w:rsidR="008D79AE" w:rsidRPr="004F4FC4">
        <w:rPr>
          <w:b/>
        </w:rPr>
        <w:t xml:space="preserve"> de más de 50 años </w:t>
      </w:r>
      <w:r w:rsidR="00670C21">
        <w:t xml:space="preserve">de sus plantillas. Así lo deprende el primer </w:t>
      </w:r>
      <w:r w:rsidR="00B964C9">
        <w:t>análisis</w:t>
      </w:r>
      <w:r w:rsidR="00670C21">
        <w:t xml:space="preserve"> </w:t>
      </w:r>
      <w:hyperlink r:id="rId8" w:history="1">
        <w:r w:rsidR="00670C21" w:rsidRPr="00176200">
          <w:rPr>
            <w:rStyle w:val="Hyperlink"/>
            <w:i/>
          </w:rPr>
          <w:t>Carrera y talento sénior. Informe de transparencia y b</w:t>
        </w:r>
        <w:r w:rsidR="008D79AE" w:rsidRPr="00176200">
          <w:rPr>
            <w:rStyle w:val="Hyperlink"/>
            <w:i/>
          </w:rPr>
          <w:t>u</w:t>
        </w:r>
        <w:r w:rsidR="00670C21" w:rsidRPr="00176200">
          <w:rPr>
            <w:rStyle w:val="Hyperlink"/>
            <w:i/>
          </w:rPr>
          <w:t>en gobierno sobre la gestión del talento sénior en las empresas del IBEX 35,</w:t>
        </w:r>
      </w:hyperlink>
      <w:bookmarkStart w:id="0" w:name="_GoBack"/>
      <w:bookmarkEnd w:id="0"/>
      <w:r w:rsidR="00670C21">
        <w:t xml:space="preserve"> elaborado por la Fundación Compromiso y Transparencia</w:t>
      </w:r>
      <w:r w:rsidR="00B964C9">
        <w:t>,</w:t>
      </w:r>
      <w:r w:rsidR="00670C21">
        <w:t xml:space="preserve"> en colaboración con </w:t>
      </w:r>
      <w:r w:rsidR="00670C21" w:rsidRPr="00670C21">
        <w:t>itwillbe</w:t>
      </w:r>
      <w:r w:rsidR="00670C21">
        <w:t xml:space="preserve"> y </w:t>
      </w:r>
      <w:r w:rsidR="00670C21" w:rsidRPr="00670C21">
        <w:t xml:space="preserve">Fundación </w:t>
      </w:r>
      <w:proofErr w:type="spellStart"/>
      <w:r w:rsidR="00670C21" w:rsidRPr="00670C21">
        <w:t>Knowdle</w:t>
      </w:r>
      <w:proofErr w:type="spellEnd"/>
      <w:r w:rsidR="00B964C9">
        <w:t>.</w:t>
      </w:r>
    </w:p>
    <w:p w14:paraId="7F7C93A0" w14:textId="1B1ED19B" w:rsidR="00EF2296" w:rsidRDefault="00B964C9" w:rsidP="00EF2296">
      <w:pPr>
        <w:jc w:val="both"/>
      </w:pPr>
      <w:r>
        <w:t xml:space="preserve">El informe, </w:t>
      </w:r>
      <w:r w:rsidR="00054951" w:rsidRPr="00294DFA">
        <w:t xml:space="preserve">disponible en </w:t>
      </w:r>
      <w:hyperlink r:id="rId9" w:history="1">
        <w:r w:rsidR="007C49FA" w:rsidRPr="00294DFA">
          <w:rPr>
            <w:rStyle w:val="Hyperlink"/>
          </w:rPr>
          <w:t>www.compromisoytransparencia.com</w:t>
        </w:r>
      </w:hyperlink>
      <w:r w:rsidR="00823A9A" w:rsidRPr="00294DFA">
        <w:t xml:space="preserve">, </w:t>
      </w:r>
      <w:r w:rsidR="004777A3">
        <w:t xml:space="preserve">ha sido presentado esta mañana en </w:t>
      </w:r>
      <w:r>
        <w:t>D</w:t>
      </w:r>
      <w:r w:rsidRPr="00B964C9">
        <w:t xml:space="preserve">eusto Business </w:t>
      </w:r>
      <w:proofErr w:type="spellStart"/>
      <w:r w:rsidRPr="00B964C9">
        <w:t>School</w:t>
      </w:r>
      <w:proofErr w:type="spellEnd"/>
      <w:r w:rsidR="004777A3">
        <w:t xml:space="preserve">, en </w:t>
      </w:r>
      <w:r>
        <w:t xml:space="preserve">una jornada titulada </w:t>
      </w:r>
      <w:r w:rsidRPr="00B964C9">
        <w:rPr>
          <w:i/>
        </w:rPr>
        <w:t>Edadismo, discriminación por edad en el mercado laboral</w:t>
      </w:r>
      <w:r w:rsidR="00EF2296">
        <w:rPr>
          <w:i/>
        </w:rPr>
        <w:t>,</w:t>
      </w:r>
      <w:r w:rsidR="00854226">
        <w:t xml:space="preserve"> organi</w:t>
      </w:r>
      <w:r w:rsidR="00EF2296">
        <w:t xml:space="preserve">zada por la Fundación Selectiva, donde su presidente, Alejandro </w:t>
      </w:r>
      <w:proofErr w:type="spellStart"/>
      <w:r w:rsidR="00EF2296">
        <w:t>Vigil</w:t>
      </w:r>
      <w:proofErr w:type="spellEnd"/>
      <w:r w:rsidR="00EF2296">
        <w:t xml:space="preserve">, ha recordado que esta situación “está muy presente en el mercado laboral. Si nos fijamos en los datos del paro de la última Encuesta de Población Activa, es más que evidente que la discriminación se ha cebado con los mayores; un colectivo que representa </w:t>
      </w:r>
      <w:r w:rsidR="00EF2296" w:rsidRPr="00477FEE">
        <w:rPr>
          <w:b/>
        </w:rPr>
        <w:t>cerca del 40% de los desempleados en España,</w:t>
      </w:r>
      <w:r w:rsidR="00EF2296">
        <w:t xml:space="preserve"> superando en más de 10 puntos a los jóvenes”.</w:t>
      </w:r>
    </w:p>
    <w:p w14:paraId="1A92A583" w14:textId="77777777" w:rsidR="00B964C9" w:rsidRDefault="00B964C9" w:rsidP="00B964C9">
      <w:pPr>
        <w:jc w:val="both"/>
      </w:pPr>
      <w:r>
        <w:t xml:space="preserve">Este primer </w:t>
      </w:r>
      <w:r w:rsidR="002D49DA">
        <w:t>análisis</w:t>
      </w:r>
      <w:r>
        <w:t xml:space="preserve"> nace</w:t>
      </w:r>
      <w:r w:rsidR="006D0949">
        <w:t xml:space="preserve"> con la intención </w:t>
      </w:r>
      <w:r w:rsidR="006D0949" w:rsidRPr="0069067B">
        <w:t xml:space="preserve">de </w:t>
      </w:r>
      <w:r w:rsidR="006D0949" w:rsidRPr="004F4FC4">
        <w:t>situar en</w:t>
      </w:r>
      <w:r w:rsidRPr="004F4FC4">
        <w:t xml:space="preserve"> la</w:t>
      </w:r>
      <w:r w:rsidRPr="004F4FC4">
        <w:rPr>
          <w:b/>
        </w:rPr>
        <w:t xml:space="preserve"> agenda del IBEX 35 la gestión del talento </w:t>
      </w:r>
      <w:r w:rsidR="002D49DA" w:rsidRPr="004F4FC4">
        <w:rPr>
          <w:b/>
        </w:rPr>
        <w:t xml:space="preserve">de los trabajadores </w:t>
      </w:r>
      <w:r w:rsidR="006955E8" w:rsidRPr="004F4FC4">
        <w:rPr>
          <w:b/>
        </w:rPr>
        <w:t>que superan los</w:t>
      </w:r>
      <w:r w:rsidR="002D49DA" w:rsidRPr="004F4FC4">
        <w:rPr>
          <w:b/>
        </w:rPr>
        <w:t xml:space="preserve"> 50 años</w:t>
      </w:r>
      <w:r w:rsidR="006955E8">
        <w:t xml:space="preserve"> de edad</w:t>
      </w:r>
      <w:r>
        <w:t xml:space="preserve">. </w:t>
      </w:r>
      <w:r w:rsidRPr="0069067B">
        <w:t>“</w:t>
      </w:r>
      <w:r w:rsidR="006D0949" w:rsidRPr="0069067B">
        <w:t>Pese a tratarse de un problema grave llama poderosamente la atención el poco interés que las empresas han venido prestando a esta cuestión. Se pueden contar con los dedos de una mano las compañías que tienen políticas y prácticas concretas para evitar la discriminación real de los mayores de 50 años</w:t>
      </w:r>
      <w:r w:rsidR="0069067B">
        <w:t>.</w:t>
      </w:r>
      <w:r w:rsidR="006D0949" w:rsidRPr="0069067B">
        <w:t xml:space="preserve"> </w:t>
      </w:r>
      <w:r>
        <w:t>Ningún país puede permitirse prescindir de su talento sénior y, especialmente</w:t>
      </w:r>
      <w:r w:rsidR="00B80F86">
        <w:t xml:space="preserve"> España,</w:t>
      </w:r>
      <w:r>
        <w:t xml:space="preserve"> que desde hace años sufre un envejecimiento progresivo de la población que ha puesto en cuestión la sostenibilidad d</w:t>
      </w:r>
      <w:r w:rsidR="002D49DA">
        <w:t>el sistema general de pensiones”, explica Javier Martín Cavanna, coautor del informe y fundador y director de Compromiso y Transparencia.</w:t>
      </w:r>
    </w:p>
    <w:p w14:paraId="06E46278" w14:textId="77777777" w:rsidR="002D49DA" w:rsidRDefault="002D49DA" w:rsidP="002D49DA">
      <w:pPr>
        <w:jc w:val="both"/>
      </w:pPr>
      <w:r>
        <w:t xml:space="preserve">Para </w:t>
      </w:r>
      <w:r w:rsidR="006955E8">
        <w:t>medir</w:t>
      </w:r>
      <w:r>
        <w:t xml:space="preserve"> el compromiso de las empresas en la gestión del talento sénior se han </w:t>
      </w:r>
      <w:r w:rsidRPr="004F4FC4">
        <w:rPr>
          <w:b/>
        </w:rPr>
        <w:t xml:space="preserve">analizado 14 indicadores </w:t>
      </w:r>
      <w:r>
        <w:t xml:space="preserve">que abordan aspectos como la existencia en las </w:t>
      </w:r>
      <w:r w:rsidR="001616D5">
        <w:t>compañías</w:t>
      </w:r>
      <w:r>
        <w:t xml:space="preserve"> de políticas de diversidad que contemplen la </w:t>
      </w:r>
      <w:r w:rsidR="00B80F86">
        <w:t>longevidad</w:t>
      </w:r>
      <w:r>
        <w:t>; la transparencia en la información de los empleados en función de la edad; las medidas para evitar sesgos en los procesos de</w:t>
      </w:r>
      <w:r w:rsidR="00B80F86">
        <w:t xml:space="preserve"> recursos humanos</w:t>
      </w:r>
      <w:r>
        <w:t xml:space="preserve">; las iniciativas y proyectos específicos para promover la salud y la seguridad laboral de sus </w:t>
      </w:r>
      <w:proofErr w:type="spellStart"/>
      <w:r w:rsidRPr="002D49DA">
        <w:t>séniors</w:t>
      </w:r>
      <w:proofErr w:type="spellEnd"/>
      <w:r>
        <w:t xml:space="preserve">, o la participación de los empleados </w:t>
      </w:r>
      <w:r w:rsidR="00B80F86">
        <w:t xml:space="preserve">prejubilados y jubilados </w:t>
      </w:r>
      <w:r>
        <w:t xml:space="preserve">en actividades </w:t>
      </w:r>
      <w:r w:rsidR="000E47FE">
        <w:t>de la compañía</w:t>
      </w:r>
      <w:r>
        <w:t>.</w:t>
      </w:r>
    </w:p>
    <w:p w14:paraId="02A23AD6" w14:textId="77777777" w:rsidR="00CD0348" w:rsidRPr="004F4FC4" w:rsidRDefault="006D0949" w:rsidP="00CD0348">
      <w:pPr>
        <w:jc w:val="both"/>
        <w:rPr>
          <w:b/>
          <w:i/>
        </w:rPr>
      </w:pPr>
      <w:r w:rsidRPr="0069067B">
        <w:t>E</w:t>
      </w:r>
      <w:r w:rsidR="00CD0348" w:rsidRPr="0069067B">
        <w:t>l informe destaca que</w:t>
      </w:r>
      <w:r w:rsidRPr="0069067B">
        <w:t xml:space="preserve"> si bien</w:t>
      </w:r>
      <w:r w:rsidR="00CD0348" w:rsidRPr="0069067B">
        <w:t xml:space="preserve"> los temas de diversidad han entrado con fuerza en las empresas</w:t>
      </w:r>
      <w:r w:rsidRPr="0069067B">
        <w:t xml:space="preserve">, </w:t>
      </w:r>
      <w:r w:rsidR="00CD0348" w:rsidRPr="0069067B">
        <w:t>todavía s</w:t>
      </w:r>
      <w:r w:rsidRPr="0069067B">
        <w:t>e focalizan mayoritariamente en las cuestiones</w:t>
      </w:r>
      <w:r w:rsidR="008910F5" w:rsidRPr="0069067B">
        <w:t xml:space="preserve"> de género y discapacidad</w:t>
      </w:r>
      <w:r w:rsidRPr="0069067B">
        <w:t xml:space="preserve">. </w:t>
      </w:r>
      <w:r>
        <w:t xml:space="preserve">Poco </w:t>
      </w:r>
      <w:r w:rsidR="001616D5">
        <w:t>más de la mitad de las empresas</w:t>
      </w:r>
      <w:r w:rsidR="000E47FE">
        <w:t xml:space="preserve"> (57%) hace</w:t>
      </w:r>
      <w:r>
        <w:t>n una</w:t>
      </w:r>
      <w:r w:rsidR="00CD0348" w:rsidRPr="00B80F86">
        <w:t xml:space="preserve"> referencia también a la </w:t>
      </w:r>
      <w:r w:rsidR="00CD0348" w:rsidRPr="004F4FC4">
        <w:rPr>
          <w:b/>
        </w:rPr>
        <w:t xml:space="preserve">diversidad por edad o generacional. </w:t>
      </w:r>
    </w:p>
    <w:p w14:paraId="24B7E1C9" w14:textId="77777777" w:rsidR="0069067B" w:rsidRDefault="00CD0348" w:rsidP="008D79AE">
      <w:pPr>
        <w:jc w:val="both"/>
      </w:pPr>
      <w:r w:rsidRPr="00B80F86">
        <w:lastRenderedPageBreak/>
        <w:t xml:space="preserve">Entre los indicadores con mayor cumplimiento </w:t>
      </w:r>
      <w:r w:rsidR="008910F5">
        <w:t>resalta</w:t>
      </w:r>
      <w:r w:rsidR="000B15F6" w:rsidRPr="00B80F86">
        <w:t xml:space="preserve"> que </w:t>
      </w:r>
      <w:r w:rsidR="000B15F6" w:rsidRPr="004F4FC4">
        <w:rPr>
          <w:b/>
        </w:rPr>
        <w:t>el 83% de las empresas publica la pirámide de edad de sus trabajadores</w:t>
      </w:r>
      <w:r w:rsidR="008D79AE" w:rsidRPr="004F4FC4">
        <w:rPr>
          <w:b/>
        </w:rPr>
        <w:t xml:space="preserve">, </w:t>
      </w:r>
      <w:r w:rsidR="008D79AE" w:rsidRPr="00B80F86">
        <w:t>aunque “sería conveniente ampliar el número de franjas”, señala el documento,</w:t>
      </w:r>
      <w:r w:rsidR="000B15F6" w:rsidRPr="00B80F86">
        <w:t xml:space="preserve"> y el 66% detalla la edad de los empleados que causan alta y baja en la compañía.</w:t>
      </w:r>
      <w:r w:rsidR="008D79AE" w:rsidRPr="00B80F86">
        <w:t xml:space="preserve"> Destaca la práctica de cuatro de ellas (Endesa, Iberdrola, </w:t>
      </w:r>
      <w:proofErr w:type="spellStart"/>
      <w:r w:rsidR="008D79AE" w:rsidRPr="00B80F86">
        <w:t>Naturgy</w:t>
      </w:r>
      <w:proofErr w:type="spellEnd"/>
      <w:r w:rsidR="008D79AE" w:rsidRPr="00B80F86">
        <w:t xml:space="preserve"> y Red Eléctrica de España), que informan sobre el número de personas que podrían jubilarse en el plazo de cinco o diez años.</w:t>
      </w:r>
    </w:p>
    <w:p w14:paraId="3D5D9EC9" w14:textId="77777777" w:rsidR="004F4FC4" w:rsidRPr="004F4FC4" w:rsidRDefault="00DE7429" w:rsidP="000B15F6">
      <w:pPr>
        <w:jc w:val="both"/>
        <w:rPr>
          <w:b/>
        </w:rPr>
      </w:pPr>
      <w:r>
        <w:rPr>
          <w:b/>
        </w:rPr>
        <w:t xml:space="preserve">Amplio </w:t>
      </w:r>
      <w:r w:rsidR="008910F5" w:rsidRPr="008910F5">
        <w:rPr>
          <w:b/>
        </w:rPr>
        <w:t>margen de mejora</w:t>
      </w:r>
    </w:p>
    <w:p w14:paraId="4BA1496E" w14:textId="77777777" w:rsidR="00CD0348" w:rsidRPr="00B80F86" w:rsidRDefault="00CD0348" w:rsidP="000B15F6">
      <w:pPr>
        <w:jc w:val="both"/>
      </w:pPr>
      <w:r w:rsidRPr="00B80F86">
        <w:t xml:space="preserve">En el lado </w:t>
      </w:r>
      <w:r w:rsidR="006D0949" w:rsidRPr="0069067B">
        <w:t>negativo</w:t>
      </w:r>
      <w:r w:rsidRPr="00B80F86">
        <w:t xml:space="preserve">, </w:t>
      </w:r>
      <w:r w:rsidR="000B15F6" w:rsidRPr="00B80F86">
        <w:t xml:space="preserve">llama la atención que </w:t>
      </w:r>
      <w:r w:rsidRPr="00B80F86">
        <w:t>ninguna de las empresas cotizadas cumpl</w:t>
      </w:r>
      <w:r w:rsidR="000B15F6" w:rsidRPr="00B80F86">
        <w:t>a con</w:t>
      </w:r>
      <w:r w:rsidRPr="00B80F86">
        <w:t xml:space="preserve"> los indicadores relativos a la inclusión de la diversidad generacional en las </w:t>
      </w:r>
      <w:r w:rsidRPr="004F4FC4">
        <w:rPr>
          <w:b/>
        </w:rPr>
        <w:t>políticas de contratación</w:t>
      </w:r>
      <w:r w:rsidRPr="00B80F86">
        <w:t xml:space="preserve"> </w:t>
      </w:r>
      <w:r w:rsidR="000B15F6" w:rsidRPr="00B80F86">
        <w:t xml:space="preserve">para evitar los sesgos </w:t>
      </w:r>
      <w:r w:rsidR="008910F5">
        <w:t xml:space="preserve">de edad </w:t>
      </w:r>
      <w:r w:rsidR="000B15F6" w:rsidRPr="00B80F86">
        <w:t>en los procesos de selección y promoción, ni tampoco en las actividades formativas</w:t>
      </w:r>
      <w:r w:rsidRPr="00B80F86">
        <w:t xml:space="preserve">. </w:t>
      </w:r>
    </w:p>
    <w:p w14:paraId="058AD496" w14:textId="77777777" w:rsidR="00CD0348" w:rsidRPr="00B80F86" w:rsidRDefault="008910F5" w:rsidP="00CD0348">
      <w:pPr>
        <w:jc w:val="both"/>
      </w:pPr>
      <w:r>
        <w:t>Tan s</w:t>
      </w:r>
      <w:r w:rsidR="00CD0348" w:rsidRPr="00B80F86">
        <w:t>olo</w:t>
      </w:r>
      <w:r w:rsidR="001A1F87">
        <w:t xml:space="preserve"> el</w:t>
      </w:r>
      <w:r w:rsidR="00CD0348" w:rsidRPr="00B80F86">
        <w:t xml:space="preserve"> </w:t>
      </w:r>
      <w:r w:rsidR="001A1F87">
        <w:t>9% de la muestra</w:t>
      </w:r>
      <w:r w:rsidR="00CD0348" w:rsidRPr="00B80F86">
        <w:t xml:space="preserve"> (</w:t>
      </w:r>
      <w:proofErr w:type="spellStart"/>
      <w:r w:rsidR="00CD0348" w:rsidRPr="00B80F86">
        <w:t>Naturgy</w:t>
      </w:r>
      <w:proofErr w:type="spellEnd"/>
      <w:r w:rsidR="00CD0348" w:rsidRPr="00B80F86">
        <w:t>, Red Elé</w:t>
      </w:r>
      <w:r w:rsidR="001A1F87">
        <w:t>ctrica de España y Sabadell) ha</w:t>
      </w:r>
      <w:r w:rsidR="00CD0348" w:rsidRPr="00B80F86">
        <w:t xml:space="preserve"> abordado de forma directa e integral el impacto del envejecimiento de la plantilla en sus organizaciones.</w:t>
      </w:r>
      <w:r w:rsidR="000B15F6" w:rsidRPr="00B80F86">
        <w:t xml:space="preserve"> </w:t>
      </w:r>
      <w:r w:rsidR="00CD0348" w:rsidRPr="00B80F86">
        <w:t>Es</w:t>
      </w:r>
      <w:r w:rsidR="000B15F6" w:rsidRPr="00B80F86">
        <w:t>ta</w:t>
      </w:r>
      <w:r w:rsidR="00CD0348" w:rsidRPr="00B80F86">
        <w:t>s compañías llevan a cabo estudios o proyectos de la realidad generacional o implantan modelos de gestión de la edad</w:t>
      </w:r>
      <w:r w:rsidR="000B15F6" w:rsidRPr="00B80F86">
        <w:t>.</w:t>
      </w:r>
    </w:p>
    <w:p w14:paraId="3A0A26E1" w14:textId="77777777" w:rsidR="008D79AE" w:rsidRPr="00B80F86" w:rsidRDefault="008910F5" w:rsidP="008D79AE">
      <w:pPr>
        <w:jc w:val="both"/>
      </w:pPr>
      <w:r>
        <w:t>C</w:t>
      </w:r>
      <w:r w:rsidR="008D79AE" w:rsidRPr="00B80F86">
        <w:t xml:space="preserve">uatro empresas (Ferrovial, Inditex, </w:t>
      </w:r>
      <w:proofErr w:type="spellStart"/>
      <w:r w:rsidR="008D79AE" w:rsidRPr="00B80F86">
        <w:t>Naturgy</w:t>
      </w:r>
      <w:proofErr w:type="spellEnd"/>
      <w:r w:rsidR="008D79AE" w:rsidRPr="00B80F86">
        <w:t xml:space="preserve"> y Red Eléctrica de España) reconocen en sus documentos públicos la existencia de iniciativas internas focalizadas en la salud de sus empleados, especialmente de los más sénior, y dirigidas al </w:t>
      </w:r>
      <w:r w:rsidR="008D79AE" w:rsidRPr="004F4FC4">
        <w:rPr>
          <w:b/>
        </w:rPr>
        <w:t xml:space="preserve">envejecimiento activo y a la prevención de problemas físicos y de salud. </w:t>
      </w:r>
      <w:r w:rsidR="008D79AE" w:rsidRPr="00B80F86">
        <w:t xml:space="preserve">En una línea similar, </w:t>
      </w:r>
      <w:r w:rsidR="004F4FC4">
        <w:t>las tres últimas</w:t>
      </w:r>
      <w:r w:rsidR="008D79AE" w:rsidRPr="00B80F86">
        <w:t xml:space="preserve"> realizan acciones de movilidad del personal sénior implicado en tareas de mantenimiento, operaciones, trabajos de campo, etc., hacia puestos de menor exigencia física.</w:t>
      </w:r>
    </w:p>
    <w:p w14:paraId="32825BE8" w14:textId="77777777" w:rsidR="004F4FC4" w:rsidRDefault="008910F5" w:rsidP="004F4FC4">
      <w:pPr>
        <w:jc w:val="both"/>
      </w:pPr>
      <w:r>
        <w:t>S</w:t>
      </w:r>
      <w:r w:rsidR="008D79AE" w:rsidRPr="00B80F86">
        <w:t xml:space="preserve">iete </w:t>
      </w:r>
      <w:r>
        <w:t>compañías</w:t>
      </w:r>
      <w:r w:rsidR="008D79AE" w:rsidRPr="00B80F86">
        <w:t xml:space="preserve"> (Enagás, Endesa, Iberdrola, Mapfre, </w:t>
      </w:r>
      <w:proofErr w:type="spellStart"/>
      <w:r w:rsidR="008D79AE" w:rsidRPr="00B80F86">
        <w:t>Naturgy</w:t>
      </w:r>
      <w:proofErr w:type="spellEnd"/>
      <w:r w:rsidR="008D79AE" w:rsidRPr="00B80F86">
        <w:t xml:space="preserve">, Red Eléctrica de España y Sabadell) realizan y comunican </w:t>
      </w:r>
      <w:r w:rsidR="008D79AE" w:rsidRPr="004F4FC4">
        <w:rPr>
          <w:b/>
        </w:rPr>
        <w:t>actividades de transmisión de conocimiento entre generaciones,</w:t>
      </w:r>
      <w:r w:rsidR="008D79AE" w:rsidRPr="00B80F86">
        <w:t xml:space="preserve"> </w:t>
      </w:r>
      <w:proofErr w:type="spellStart"/>
      <w:r w:rsidR="008D79AE" w:rsidRPr="00B80F86">
        <w:t>mentorización</w:t>
      </w:r>
      <w:proofErr w:type="spellEnd"/>
      <w:r w:rsidR="008D79AE" w:rsidRPr="00B80F86">
        <w:t xml:space="preserve"> </w:t>
      </w:r>
      <w:proofErr w:type="spellStart"/>
      <w:r w:rsidR="008D79AE" w:rsidRPr="00B80F86">
        <w:t>séniors-júniors</w:t>
      </w:r>
      <w:proofErr w:type="spellEnd"/>
      <w:r w:rsidR="008D79AE" w:rsidRPr="00B80F86">
        <w:t xml:space="preserve">, de relación intergeneracional o de relevo generacional. </w:t>
      </w:r>
    </w:p>
    <w:p w14:paraId="4E0CA8C6" w14:textId="77777777" w:rsidR="00DE7429" w:rsidRDefault="00DE7429" w:rsidP="004F4FC4">
      <w:pPr>
        <w:jc w:val="both"/>
      </w:pPr>
      <w:r w:rsidRPr="004F4FC4">
        <w:rPr>
          <w:i/>
        </w:rPr>
        <w:t>Carrera y talento sénior</w:t>
      </w:r>
      <w:r>
        <w:t xml:space="preserve"> recuerda que una</w:t>
      </w:r>
      <w:r w:rsidRPr="001616D5">
        <w:t xml:space="preserve"> visión cortoplacista en la reducción de costes </w:t>
      </w:r>
      <w:r>
        <w:t xml:space="preserve">donde los principales perjudicados son los mayores </w:t>
      </w:r>
      <w:r w:rsidRPr="001616D5">
        <w:t>y la existencia de sesgos ante los retos tecnológicos está contribuyendo a descapitalizar progresivamente las empresas</w:t>
      </w:r>
      <w:r>
        <w:t xml:space="preserve">. “Los talentos de </w:t>
      </w:r>
      <w:r w:rsidRPr="00DE7429">
        <w:rPr>
          <w:b/>
        </w:rPr>
        <w:t>más de un millón de personas mayores de 50 años que quieren trabajar</w:t>
      </w:r>
      <w:r>
        <w:t xml:space="preserve"> se están desperdiciando debido a la discriminación, los prejuicios y las prácticas de empleo obsoletas”, señala.</w:t>
      </w:r>
    </w:p>
    <w:p w14:paraId="56B3976F" w14:textId="77777777" w:rsidR="00CD0348" w:rsidRPr="00B80F86" w:rsidRDefault="004F4FC4" w:rsidP="00CD0348">
      <w:pPr>
        <w:jc w:val="both"/>
      </w:pPr>
      <w:r>
        <w:t>Por su parte, l</w:t>
      </w:r>
      <w:r w:rsidR="00CD0348" w:rsidRPr="00B80F86">
        <w:t xml:space="preserve">a preparación para la salida de la empresa (vía prejubilación, jubilación o despido) es algo que pocas </w:t>
      </w:r>
      <w:r>
        <w:t>entidades</w:t>
      </w:r>
      <w:r w:rsidR="00CD0348" w:rsidRPr="00B80F86">
        <w:t xml:space="preserve"> abordan</w:t>
      </w:r>
      <w:r w:rsidR="000B15F6" w:rsidRPr="00B80F86">
        <w:t>, destaca</w:t>
      </w:r>
      <w:r>
        <w:t xml:space="preserve"> el análisis.</w:t>
      </w:r>
      <w:r w:rsidR="00CD0348" w:rsidRPr="00B80F86">
        <w:t xml:space="preserve"> Solo </w:t>
      </w:r>
      <w:proofErr w:type="spellStart"/>
      <w:r w:rsidR="000E47FE">
        <w:t>Naturgy</w:t>
      </w:r>
      <w:proofErr w:type="spellEnd"/>
      <w:r w:rsidR="000E47FE">
        <w:t xml:space="preserve"> y Telefónica</w:t>
      </w:r>
      <w:r w:rsidR="00CD0348" w:rsidRPr="00B80F86">
        <w:t>, el 6% del total, ayudan a los trabajadores afectados en el proceso de transición.</w:t>
      </w:r>
    </w:p>
    <w:p w14:paraId="42C55F8E" w14:textId="77777777" w:rsidR="000B15F6" w:rsidRPr="004F4FC4" w:rsidRDefault="000B15F6" w:rsidP="000B15F6">
      <w:pPr>
        <w:jc w:val="both"/>
        <w:rPr>
          <w:b/>
        </w:rPr>
      </w:pPr>
      <w:r w:rsidRPr="00B80F86">
        <w:t xml:space="preserve">Finalmente, </w:t>
      </w:r>
      <w:r w:rsidR="000E47FE">
        <w:t xml:space="preserve">tan </w:t>
      </w:r>
      <w:r w:rsidRPr="00B80F86">
        <w:t>solo Acerinox,</w:t>
      </w:r>
      <w:r w:rsidRPr="00B80F86">
        <w:rPr>
          <w:sz w:val="24"/>
        </w:rPr>
        <w:t xml:space="preserve"> </w:t>
      </w:r>
      <w:r w:rsidRPr="00B80F86">
        <w:t>Endesa,</w:t>
      </w:r>
      <w:r w:rsidRPr="00B80F86">
        <w:rPr>
          <w:sz w:val="24"/>
        </w:rPr>
        <w:t xml:space="preserve"> </w:t>
      </w:r>
      <w:r w:rsidRPr="00B80F86">
        <w:t>Sabadell y Telefónica, el 11% de la muestra, informa sobre la participación</w:t>
      </w:r>
      <w:r w:rsidR="000E47FE">
        <w:t xml:space="preserve"> de los empleados </w:t>
      </w:r>
      <w:r w:rsidRPr="00B80F86">
        <w:t xml:space="preserve">prejubilados y jubilados en actividades de formación interna, voluntariado corporativo o cobertura de ausencias, </w:t>
      </w:r>
      <w:r w:rsidRPr="004F4FC4">
        <w:rPr>
          <w:b/>
        </w:rPr>
        <w:t xml:space="preserve">vinculando al extrabajador </w:t>
      </w:r>
      <w:r w:rsidR="008D79AE" w:rsidRPr="004F4FC4">
        <w:rPr>
          <w:b/>
        </w:rPr>
        <w:t>en sus actividades.</w:t>
      </w:r>
    </w:p>
    <w:p w14:paraId="28EFA972" w14:textId="77777777" w:rsidR="006955E8" w:rsidRDefault="006955E8" w:rsidP="000B15F6">
      <w:pPr>
        <w:jc w:val="both"/>
      </w:pPr>
      <w:r w:rsidRPr="001616D5">
        <w:t xml:space="preserve">En conclusión, el amplio margen de mejora que tienen las empresas supone para itwillbe y la Fundación </w:t>
      </w:r>
      <w:proofErr w:type="spellStart"/>
      <w:r w:rsidRPr="001616D5">
        <w:t>Knowdle</w:t>
      </w:r>
      <w:proofErr w:type="spellEnd"/>
      <w:r w:rsidRPr="001616D5">
        <w:t xml:space="preserve"> “una gran oportunidad de llevar a cabo acciones para potencial el valor y el </w:t>
      </w:r>
      <w:r w:rsidRPr="004F4FC4">
        <w:rPr>
          <w:b/>
        </w:rPr>
        <w:t>aprovechamiento de la experiencia del talento sénior,</w:t>
      </w:r>
      <w:r w:rsidRPr="001616D5">
        <w:t xml:space="preserve"> tomando como ejemplo diferentes buenas prácticas ya operativas en las empresas del IBEX 35”. </w:t>
      </w:r>
    </w:p>
    <w:p w14:paraId="0D44529C" w14:textId="77777777" w:rsidR="006955E8" w:rsidRPr="001616D5" w:rsidRDefault="006955E8" w:rsidP="000B15F6">
      <w:pPr>
        <w:jc w:val="both"/>
      </w:pPr>
      <w:r w:rsidRPr="001616D5">
        <w:lastRenderedPageBreak/>
        <w:t xml:space="preserve">Según ambas entidades, “es muy probable que las grandes empresas estén realizando más actuaciones en el campo del talento sénior de las que figuran en sus memorias y el paso a dar ahora es potenciarlas y comunicarlas, empezando por el simple </w:t>
      </w:r>
      <w:r w:rsidRPr="004F4FC4">
        <w:rPr>
          <w:b/>
        </w:rPr>
        <w:t>reconocimiento del esfuerzo y dedicación de estas personas</w:t>
      </w:r>
      <w:r w:rsidRPr="001616D5">
        <w:t xml:space="preserve"> para llevar a las compañías a lo que son hoy”. </w:t>
      </w:r>
    </w:p>
    <w:p w14:paraId="1121D622" w14:textId="77777777" w:rsidR="008D79AE" w:rsidRDefault="006955E8" w:rsidP="000B15F6">
      <w:pPr>
        <w:jc w:val="both"/>
      </w:pPr>
      <w:r w:rsidRPr="001616D5">
        <w:t xml:space="preserve">Entre todas las posibles actuaciones de mejora, itwillbe y la Fundación </w:t>
      </w:r>
      <w:proofErr w:type="spellStart"/>
      <w:r w:rsidRPr="001616D5">
        <w:t>Knowdle</w:t>
      </w:r>
      <w:proofErr w:type="spellEnd"/>
      <w:r w:rsidRPr="001616D5">
        <w:t xml:space="preserve"> destacan la importancia de </w:t>
      </w:r>
      <w:r w:rsidRPr="004F4FC4">
        <w:rPr>
          <w:b/>
        </w:rPr>
        <w:t xml:space="preserve">preparar a los profesionales </w:t>
      </w:r>
      <w:proofErr w:type="spellStart"/>
      <w:r w:rsidRPr="004F4FC4">
        <w:rPr>
          <w:b/>
        </w:rPr>
        <w:t>sénior</w:t>
      </w:r>
      <w:r w:rsidR="004E35C0" w:rsidRPr="004F4FC4">
        <w:rPr>
          <w:b/>
        </w:rPr>
        <w:t>s</w:t>
      </w:r>
      <w:proofErr w:type="spellEnd"/>
      <w:r w:rsidRPr="004F4FC4">
        <w:rPr>
          <w:b/>
        </w:rPr>
        <w:t xml:space="preserve"> que vayan a prejubilarse o jubilarse</w:t>
      </w:r>
      <w:r w:rsidRPr="001616D5">
        <w:t xml:space="preserve"> para que tengan una transición suave y que facilite su paso al campo de la acción social.</w:t>
      </w:r>
    </w:p>
    <w:p w14:paraId="2F59C469" w14:textId="77777777" w:rsidR="004E35C0" w:rsidRPr="001616D5" w:rsidRDefault="004E35C0" w:rsidP="000B15F6">
      <w:pPr>
        <w:jc w:val="both"/>
      </w:pPr>
    </w:p>
    <w:p w14:paraId="21D0BCA6" w14:textId="77777777" w:rsidR="00444A57" w:rsidRPr="00444A57" w:rsidRDefault="00444A57" w:rsidP="00444A57">
      <w:pPr>
        <w:jc w:val="both"/>
        <w:rPr>
          <w:b/>
          <w:color w:val="595959"/>
          <w:sz w:val="16"/>
          <w:u w:val="single"/>
        </w:rPr>
      </w:pPr>
      <w:r w:rsidRPr="00444A57">
        <w:rPr>
          <w:b/>
          <w:color w:val="595959"/>
          <w:sz w:val="16"/>
          <w:u w:val="single"/>
        </w:rPr>
        <w:t>Acerca de Fundación Compromiso y Transparencia</w:t>
      </w:r>
    </w:p>
    <w:p w14:paraId="5FE1F13D" w14:textId="77777777" w:rsidR="00444A57" w:rsidRPr="00255AE3" w:rsidRDefault="00444A57" w:rsidP="001665F5">
      <w:pPr>
        <w:rPr>
          <w:b/>
          <w:color w:val="595959"/>
          <w:sz w:val="16"/>
          <w:u w:val="single"/>
        </w:rPr>
      </w:pPr>
      <w:r w:rsidRPr="00444A57">
        <w:rPr>
          <w:color w:val="595959"/>
          <w:sz w:val="16"/>
        </w:rPr>
        <w:t>La Fundación Compromiso y Transparencia se constituyó en el año 2007 por un grupo de profesionales procedentes del mundo de la empresa, de la academia y del sector no lucrativo con la finalidad de f</w:t>
      </w:r>
      <w:r w:rsidRPr="00444A57">
        <w:rPr>
          <w:iCs/>
          <w:color w:val="595959"/>
          <w:sz w:val="16"/>
        </w:rPr>
        <w:t xml:space="preserve">ortalecer la confianza de la sociedad en las instituciones </w:t>
      </w:r>
      <w:r w:rsidR="00D04622">
        <w:rPr>
          <w:iCs/>
          <w:color w:val="595959"/>
          <w:sz w:val="16"/>
        </w:rPr>
        <w:t xml:space="preserve">y empresas </w:t>
      </w:r>
      <w:r w:rsidR="00D04622" w:rsidRPr="00D04622">
        <w:rPr>
          <w:iCs/>
          <w:color w:val="595959"/>
          <w:sz w:val="16"/>
        </w:rPr>
        <w:t>promoviendo la transparencia, el buen gobierno y el compromiso social</w:t>
      </w:r>
      <w:r w:rsidR="008C7BDD">
        <w:rPr>
          <w:color w:val="595959"/>
          <w:sz w:val="16"/>
        </w:rPr>
        <w:t>. W</w:t>
      </w:r>
      <w:r w:rsidRPr="00444A57">
        <w:rPr>
          <w:color w:val="595959"/>
          <w:sz w:val="16"/>
        </w:rPr>
        <w:t>eb</w:t>
      </w:r>
      <w:r w:rsidR="008C7BDD">
        <w:rPr>
          <w:color w:val="595959"/>
          <w:sz w:val="16"/>
        </w:rPr>
        <w:t>:</w:t>
      </w:r>
      <w:r w:rsidRPr="00444A57">
        <w:rPr>
          <w:color w:val="595959"/>
          <w:sz w:val="16"/>
        </w:rPr>
        <w:t xml:space="preserve"> </w:t>
      </w:r>
      <w:hyperlink r:id="rId10" w:history="1">
        <w:r w:rsidRPr="00444A57">
          <w:rPr>
            <w:rStyle w:val="Hyperlink"/>
            <w:sz w:val="16"/>
          </w:rPr>
          <w:t>www.compromisoytransparencia.com</w:t>
        </w:r>
      </w:hyperlink>
      <w:r w:rsidRPr="00444A57">
        <w:rPr>
          <w:color w:val="595959"/>
          <w:sz w:val="16"/>
        </w:rPr>
        <w:t xml:space="preserve"> </w:t>
      </w:r>
    </w:p>
    <w:p w14:paraId="79F08F31" w14:textId="77777777" w:rsidR="008C7BDD" w:rsidRPr="008C7BDD" w:rsidRDefault="008C7BDD" w:rsidP="008C7BDD">
      <w:pPr>
        <w:rPr>
          <w:b/>
          <w:color w:val="595959"/>
          <w:sz w:val="16"/>
          <w:u w:val="single"/>
        </w:rPr>
      </w:pPr>
      <w:r w:rsidRPr="008C7BDD">
        <w:rPr>
          <w:b/>
          <w:color w:val="595959"/>
          <w:sz w:val="16"/>
          <w:u w:val="single"/>
        </w:rPr>
        <w:t xml:space="preserve">Acerca de itwillbe </w:t>
      </w:r>
    </w:p>
    <w:p w14:paraId="1CB2496F" w14:textId="77777777" w:rsidR="008C7BDD" w:rsidRPr="008C7BDD" w:rsidRDefault="008C7BDD" w:rsidP="008C7BDD">
      <w:pPr>
        <w:rPr>
          <w:color w:val="595959"/>
          <w:sz w:val="16"/>
        </w:rPr>
      </w:pPr>
      <w:r w:rsidRPr="008C7BDD">
        <w:rPr>
          <w:color w:val="595959"/>
          <w:sz w:val="16"/>
        </w:rPr>
        <w:t>ONG de innovación social,</w:t>
      </w:r>
      <w:r>
        <w:rPr>
          <w:color w:val="595959"/>
          <w:sz w:val="16"/>
        </w:rPr>
        <w:t xml:space="preserve"> </w:t>
      </w:r>
      <w:r w:rsidRPr="008C7BDD">
        <w:rPr>
          <w:color w:val="595959"/>
          <w:sz w:val="16"/>
        </w:rPr>
        <w:t>que colabora en proyectos de cooperación</w:t>
      </w:r>
      <w:r>
        <w:rPr>
          <w:color w:val="595959"/>
          <w:sz w:val="16"/>
        </w:rPr>
        <w:t xml:space="preserve"> </w:t>
      </w:r>
      <w:r w:rsidRPr="008C7BDD">
        <w:rPr>
          <w:color w:val="595959"/>
          <w:sz w:val="16"/>
        </w:rPr>
        <w:t>internacional y educación para el desarrollo,</w:t>
      </w:r>
      <w:r>
        <w:rPr>
          <w:color w:val="595959"/>
          <w:sz w:val="16"/>
        </w:rPr>
        <w:t xml:space="preserve"> </w:t>
      </w:r>
      <w:r w:rsidRPr="008C7BDD">
        <w:rPr>
          <w:color w:val="595959"/>
          <w:sz w:val="16"/>
        </w:rPr>
        <w:t>aportando eficiencia y mejorando el impacto</w:t>
      </w:r>
      <w:r>
        <w:rPr>
          <w:color w:val="595959"/>
          <w:sz w:val="16"/>
        </w:rPr>
        <w:t xml:space="preserve"> </w:t>
      </w:r>
      <w:r w:rsidRPr="008C7BDD">
        <w:rPr>
          <w:color w:val="595959"/>
          <w:sz w:val="16"/>
        </w:rPr>
        <w:t>social. Trabaja desde 2008 por la defensa</w:t>
      </w:r>
      <w:r>
        <w:rPr>
          <w:color w:val="595959"/>
          <w:sz w:val="16"/>
        </w:rPr>
        <w:t xml:space="preserve"> </w:t>
      </w:r>
      <w:r w:rsidRPr="008C7BDD">
        <w:rPr>
          <w:color w:val="595959"/>
          <w:sz w:val="16"/>
        </w:rPr>
        <w:t>de los derechos humanos universales, con</w:t>
      </w:r>
      <w:r>
        <w:rPr>
          <w:color w:val="595959"/>
          <w:sz w:val="16"/>
        </w:rPr>
        <w:t xml:space="preserve"> </w:t>
      </w:r>
      <w:r w:rsidRPr="008C7BDD">
        <w:rPr>
          <w:color w:val="595959"/>
          <w:sz w:val="16"/>
        </w:rPr>
        <w:t>especial incidencia en la infancia e igualdad</w:t>
      </w:r>
      <w:r>
        <w:rPr>
          <w:color w:val="595959"/>
          <w:sz w:val="16"/>
        </w:rPr>
        <w:t xml:space="preserve"> </w:t>
      </w:r>
      <w:r w:rsidRPr="008C7BDD">
        <w:rPr>
          <w:color w:val="595959"/>
          <w:sz w:val="16"/>
        </w:rPr>
        <w:t>de género. Siempre bajo la premisa de la</w:t>
      </w:r>
      <w:r>
        <w:rPr>
          <w:color w:val="595959"/>
          <w:sz w:val="16"/>
        </w:rPr>
        <w:t xml:space="preserve"> </w:t>
      </w:r>
      <w:r w:rsidRPr="008C7BDD">
        <w:rPr>
          <w:color w:val="595959"/>
          <w:sz w:val="16"/>
        </w:rPr>
        <w:t>escalabilidad y sostenibilidad de proyecto.</w:t>
      </w:r>
    </w:p>
    <w:p w14:paraId="7EB7D9E6" w14:textId="77777777" w:rsidR="008C7BDD" w:rsidRPr="008C7BDD" w:rsidRDefault="008C7BDD" w:rsidP="008C7BDD">
      <w:pPr>
        <w:rPr>
          <w:b/>
          <w:color w:val="595959"/>
          <w:sz w:val="16"/>
          <w:u w:val="single"/>
        </w:rPr>
      </w:pPr>
      <w:r w:rsidRPr="008C7BDD">
        <w:rPr>
          <w:b/>
          <w:color w:val="595959"/>
          <w:sz w:val="16"/>
          <w:u w:val="single"/>
        </w:rPr>
        <w:t xml:space="preserve">Acerca de Fundación </w:t>
      </w:r>
      <w:proofErr w:type="spellStart"/>
      <w:r w:rsidRPr="008C7BDD">
        <w:rPr>
          <w:b/>
          <w:color w:val="595959"/>
          <w:sz w:val="16"/>
          <w:u w:val="single"/>
        </w:rPr>
        <w:t>Knowdle</w:t>
      </w:r>
      <w:proofErr w:type="spellEnd"/>
      <w:r w:rsidRPr="008C7BDD">
        <w:rPr>
          <w:b/>
          <w:color w:val="595959"/>
          <w:sz w:val="16"/>
          <w:u w:val="single"/>
        </w:rPr>
        <w:t xml:space="preserve"> </w:t>
      </w:r>
    </w:p>
    <w:p w14:paraId="6E2F3DB2" w14:textId="77777777" w:rsidR="008C7BDD" w:rsidRDefault="006955E8" w:rsidP="008C7BDD">
      <w:pPr>
        <w:rPr>
          <w:color w:val="595959"/>
          <w:sz w:val="16"/>
        </w:rPr>
      </w:pPr>
      <w:r>
        <w:rPr>
          <w:color w:val="595959"/>
          <w:sz w:val="16"/>
        </w:rPr>
        <w:t xml:space="preserve">La </w:t>
      </w:r>
      <w:r w:rsidR="008C7BDD" w:rsidRPr="008C7BDD">
        <w:rPr>
          <w:color w:val="595959"/>
          <w:sz w:val="16"/>
        </w:rPr>
        <w:t xml:space="preserve">Fundación </w:t>
      </w:r>
      <w:proofErr w:type="spellStart"/>
      <w:r w:rsidR="008C7BDD" w:rsidRPr="008C7BDD">
        <w:rPr>
          <w:color w:val="595959"/>
          <w:sz w:val="16"/>
        </w:rPr>
        <w:t>Knowdle</w:t>
      </w:r>
      <w:proofErr w:type="spellEnd"/>
      <w:r w:rsidR="008C7BDD" w:rsidRPr="008C7BDD">
        <w:rPr>
          <w:color w:val="595959"/>
          <w:sz w:val="16"/>
        </w:rPr>
        <w:t xml:space="preserve"> se centra en el</w:t>
      </w:r>
      <w:r w:rsidR="008C7BDD">
        <w:rPr>
          <w:color w:val="595959"/>
          <w:sz w:val="16"/>
        </w:rPr>
        <w:t xml:space="preserve"> </w:t>
      </w:r>
      <w:r w:rsidR="008C7BDD" w:rsidRPr="008C7BDD">
        <w:rPr>
          <w:color w:val="595959"/>
          <w:sz w:val="16"/>
        </w:rPr>
        <w:t>desarrollo de algoritmos y soluciones de</w:t>
      </w:r>
      <w:r w:rsidR="008C7BDD">
        <w:rPr>
          <w:color w:val="595959"/>
          <w:sz w:val="16"/>
        </w:rPr>
        <w:t xml:space="preserve"> </w:t>
      </w:r>
      <w:r w:rsidR="008C7BDD" w:rsidRPr="008C7BDD">
        <w:rPr>
          <w:color w:val="595959"/>
          <w:sz w:val="16"/>
        </w:rPr>
        <w:t>Inteligencia Artificial/Colectiva para detectar</w:t>
      </w:r>
      <w:r w:rsidR="008C7BDD">
        <w:rPr>
          <w:color w:val="595959"/>
          <w:sz w:val="16"/>
        </w:rPr>
        <w:t xml:space="preserve"> </w:t>
      </w:r>
      <w:r w:rsidR="008C7BDD" w:rsidRPr="008C7BDD">
        <w:rPr>
          <w:color w:val="595959"/>
          <w:sz w:val="16"/>
        </w:rPr>
        <w:t>y aprovechar los datos que se generan en la</w:t>
      </w:r>
      <w:r w:rsidR="008C7BDD">
        <w:rPr>
          <w:color w:val="595959"/>
          <w:sz w:val="16"/>
        </w:rPr>
        <w:t xml:space="preserve"> </w:t>
      </w:r>
      <w:r w:rsidR="008C7BDD" w:rsidRPr="008C7BDD">
        <w:rPr>
          <w:color w:val="595959"/>
          <w:sz w:val="16"/>
        </w:rPr>
        <w:t>interacción de los usuarios con contenidos,</w:t>
      </w:r>
      <w:r w:rsidR="008C7BDD">
        <w:rPr>
          <w:color w:val="595959"/>
          <w:sz w:val="16"/>
        </w:rPr>
        <w:t xml:space="preserve"> </w:t>
      </w:r>
      <w:r w:rsidR="008C7BDD" w:rsidRPr="008C7BDD">
        <w:rPr>
          <w:color w:val="595959"/>
          <w:sz w:val="16"/>
        </w:rPr>
        <w:t>aplicaciones y servicios digitales. Ello permite</w:t>
      </w:r>
      <w:r w:rsidR="008C7BDD">
        <w:rPr>
          <w:color w:val="595959"/>
          <w:sz w:val="16"/>
        </w:rPr>
        <w:t xml:space="preserve"> </w:t>
      </w:r>
      <w:r w:rsidR="008C7BDD" w:rsidRPr="008C7BDD">
        <w:rPr>
          <w:color w:val="595959"/>
          <w:sz w:val="16"/>
        </w:rPr>
        <w:t>conocer y entender su perfil y ofrecerles e</w:t>
      </w:r>
      <w:r w:rsidR="008C7BDD">
        <w:rPr>
          <w:color w:val="595959"/>
          <w:sz w:val="16"/>
        </w:rPr>
        <w:t xml:space="preserve"> </w:t>
      </w:r>
      <w:r w:rsidR="008C7BDD" w:rsidRPr="008C7BDD">
        <w:rPr>
          <w:color w:val="595959"/>
          <w:sz w:val="16"/>
        </w:rPr>
        <w:t>inspirarles aquello que realmente quieren o</w:t>
      </w:r>
      <w:r w:rsidR="008C7BDD">
        <w:rPr>
          <w:color w:val="595959"/>
          <w:sz w:val="16"/>
        </w:rPr>
        <w:t xml:space="preserve"> </w:t>
      </w:r>
      <w:r w:rsidR="008C7BDD" w:rsidRPr="008C7BDD">
        <w:rPr>
          <w:color w:val="595959"/>
          <w:sz w:val="16"/>
        </w:rPr>
        <w:t>necesitan.</w:t>
      </w:r>
    </w:p>
    <w:p w14:paraId="255EBA4B" w14:textId="77777777" w:rsidR="00854226" w:rsidRPr="00854226" w:rsidRDefault="00854226" w:rsidP="008C7BDD">
      <w:pPr>
        <w:rPr>
          <w:b/>
          <w:color w:val="595959"/>
          <w:sz w:val="16"/>
          <w:u w:val="single"/>
        </w:rPr>
      </w:pPr>
      <w:r w:rsidRPr="00854226">
        <w:rPr>
          <w:b/>
          <w:color w:val="595959"/>
          <w:sz w:val="16"/>
          <w:u w:val="single"/>
        </w:rPr>
        <w:t>Acerca de la Fundación Selectiva</w:t>
      </w:r>
    </w:p>
    <w:p w14:paraId="3E1DA6FD" w14:textId="6AA2FA6E" w:rsidR="00854226" w:rsidRDefault="00854226" w:rsidP="008C7BDD">
      <w:pPr>
        <w:rPr>
          <w:color w:val="595959"/>
          <w:sz w:val="16"/>
        </w:rPr>
      </w:pPr>
      <w:r>
        <w:rPr>
          <w:color w:val="595959"/>
          <w:sz w:val="16"/>
        </w:rPr>
        <w:t xml:space="preserve">La Fundación Selectiva , organización creada sin ánimo de lucro, </w:t>
      </w:r>
      <w:r w:rsidR="00F25771">
        <w:rPr>
          <w:color w:val="595959"/>
          <w:sz w:val="16"/>
        </w:rPr>
        <w:t xml:space="preserve">tiene como principal </w:t>
      </w:r>
      <w:r>
        <w:rPr>
          <w:color w:val="595959"/>
          <w:sz w:val="16"/>
        </w:rPr>
        <w:t xml:space="preserve">misión </w:t>
      </w:r>
      <w:r w:rsidR="00F25771">
        <w:rPr>
          <w:color w:val="595959"/>
          <w:sz w:val="16"/>
        </w:rPr>
        <w:t>l</w:t>
      </w:r>
      <w:r w:rsidRPr="00854226">
        <w:rPr>
          <w:color w:val="595959"/>
          <w:sz w:val="16"/>
        </w:rPr>
        <w:t>uchar contra la discriminación laboral de los mayores de 45 años en su carrera profesional eliminando las barreras existentes en las empresas e impulsando buenas prácticas.</w:t>
      </w:r>
      <w:r>
        <w:rPr>
          <w:color w:val="595959"/>
          <w:sz w:val="16"/>
        </w:rPr>
        <w:t xml:space="preserve"> Web:</w:t>
      </w:r>
      <w:r w:rsidRPr="00854226">
        <w:t xml:space="preserve"> </w:t>
      </w:r>
      <w:hyperlink r:id="rId11" w:history="1">
        <w:r w:rsidRPr="00544C81">
          <w:rPr>
            <w:rStyle w:val="Hyperlink"/>
            <w:sz w:val="16"/>
          </w:rPr>
          <w:t>www.fundacionselectiva.org</w:t>
        </w:r>
      </w:hyperlink>
    </w:p>
    <w:p w14:paraId="129C064A" w14:textId="77777777" w:rsidR="00854226" w:rsidRDefault="00854226" w:rsidP="008C7BDD">
      <w:pPr>
        <w:rPr>
          <w:color w:val="595959"/>
          <w:sz w:val="16"/>
        </w:rPr>
      </w:pPr>
    </w:p>
    <w:p w14:paraId="06A9F836" w14:textId="77777777" w:rsidR="008C7BDD" w:rsidRDefault="008C7BDD" w:rsidP="008C7BDD">
      <w:pPr>
        <w:rPr>
          <w:color w:val="595959"/>
          <w:sz w:val="16"/>
        </w:rPr>
      </w:pPr>
      <w:r w:rsidRPr="00444A57">
        <w:rPr>
          <w:b/>
          <w:color w:val="595959"/>
          <w:sz w:val="16"/>
          <w:u w:val="single"/>
        </w:rPr>
        <w:t>Más información</w:t>
      </w:r>
      <w:r w:rsidRPr="00444A57">
        <w:rPr>
          <w:b/>
          <w:color w:val="595959"/>
          <w:sz w:val="16"/>
          <w:u w:val="single"/>
        </w:rPr>
        <w:br/>
      </w:r>
      <w:r w:rsidRPr="00444A57">
        <w:rPr>
          <w:color w:val="595959"/>
          <w:sz w:val="16"/>
        </w:rPr>
        <w:t>Esther Barrio</w:t>
      </w:r>
      <w:r>
        <w:rPr>
          <w:color w:val="595959"/>
          <w:sz w:val="16"/>
        </w:rPr>
        <w:t xml:space="preserve"> / </w:t>
      </w:r>
      <w:hyperlink r:id="rId12" w:history="1">
        <w:r w:rsidRPr="00444A57">
          <w:rPr>
            <w:rStyle w:val="Hyperlink"/>
            <w:color w:val="595959"/>
            <w:sz w:val="16"/>
          </w:rPr>
          <w:t>ebarrio@compromisoempresarial.com</w:t>
        </w:r>
      </w:hyperlink>
      <w:r>
        <w:rPr>
          <w:rStyle w:val="Hyperlink"/>
          <w:color w:val="595959"/>
          <w:sz w:val="16"/>
        </w:rPr>
        <w:t xml:space="preserve"> /</w:t>
      </w:r>
      <w:r w:rsidRPr="008C7BDD">
        <w:rPr>
          <w:rStyle w:val="Hyperlink"/>
          <w:color w:val="595959"/>
          <w:sz w:val="16"/>
          <w:u w:val="none"/>
        </w:rPr>
        <w:t xml:space="preserve"> </w:t>
      </w:r>
      <w:proofErr w:type="spellStart"/>
      <w:r>
        <w:rPr>
          <w:rStyle w:val="Hyperlink"/>
          <w:color w:val="595959"/>
          <w:sz w:val="16"/>
          <w:u w:val="none"/>
        </w:rPr>
        <w:t>Tfno</w:t>
      </w:r>
      <w:proofErr w:type="spellEnd"/>
      <w:r>
        <w:rPr>
          <w:rStyle w:val="Hyperlink"/>
          <w:color w:val="595959"/>
          <w:sz w:val="16"/>
          <w:u w:val="none"/>
        </w:rPr>
        <w:t>:</w:t>
      </w:r>
      <w:r w:rsidRPr="00255AE3">
        <w:rPr>
          <w:rStyle w:val="Hyperlink"/>
          <w:color w:val="595959"/>
          <w:sz w:val="16"/>
          <w:u w:val="none"/>
        </w:rPr>
        <w:t xml:space="preserve"> </w:t>
      </w:r>
      <w:r w:rsidRPr="00444A57">
        <w:rPr>
          <w:color w:val="595959"/>
          <w:sz w:val="16"/>
        </w:rPr>
        <w:t>650 38 23 35</w:t>
      </w:r>
    </w:p>
    <w:p w14:paraId="41A3F35A" w14:textId="77777777" w:rsidR="008C7BDD" w:rsidRPr="00EF4915" w:rsidRDefault="008C7BDD" w:rsidP="008C7BDD">
      <w:pPr>
        <w:rPr>
          <w:color w:val="595959"/>
          <w:sz w:val="16"/>
        </w:rPr>
      </w:pPr>
    </w:p>
    <w:sectPr w:rsidR="008C7BDD" w:rsidRPr="00EF4915" w:rsidSect="00663A94">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340B3" w14:textId="77777777" w:rsidR="00721465" w:rsidRDefault="00721465" w:rsidP="00700076">
      <w:pPr>
        <w:spacing w:after="0" w:line="240" w:lineRule="auto"/>
      </w:pPr>
      <w:r>
        <w:separator/>
      </w:r>
    </w:p>
  </w:endnote>
  <w:endnote w:type="continuationSeparator" w:id="0">
    <w:p w14:paraId="3978EF4A" w14:textId="77777777" w:rsidR="00721465" w:rsidRDefault="00721465" w:rsidP="0070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0FA9" w14:textId="77777777" w:rsidR="00721465" w:rsidRDefault="00721465" w:rsidP="00700076">
      <w:pPr>
        <w:spacing w:after="0" w:line="240" w:lineRule="auto"/>
      </w:pPr>
      <w:r>
        <w:separator/>
      </w:r>
    </w:p>
  </w:footnote>
  <w:footnote w:type="continuationSeparator" w:id="0">
    <w:p w14:paraId="351ED467" w14:textId="77777777" w:rsidR="00721465" w:rsidRDefault="00721465" w:rsidP="0070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FA14" w14:textId="77777777" w:rsidR="00700076" w:rsidRDefault="00700076" w:rsidP="00700076">
    <w:pPr>
      <w:pStyle w:val="Header"/>
      <w:rPr>
        <w:b/>
      </w:rPr>
    </w:pPr>
    <w:r w:rsidRPr="00563FAA">
      <w:rPr>
        <w:b/>
        <w:noProof/>
        <w:lang w:eastAsia="es-ES"/>
      </w:rPr>
      <w:drawing>
        <wp:anchor distT="0" distB="0" distL="114300" distR="114300" simplePos="0" relativeHeight="251659264" behindDoc="0" locked="0" layoutInCell="1" allowOverlap="1" wp14:anchorId="28750911" wp14:editId="2CE986C0">
          <wp:simplePos x="0" y="0"/>
          <wp:positionH relativeFrom="column">
            <wp:posOffset>3340100</wp:posOffset>
          </wp:positionH>
          <wp:positionV relativeFrom="paragraph">
            <wp:posOffset>-314960</wp:posOffset>
          </wp:positionV>
          <wp:extent cx="2054225" cy="582930"/>
          <wp:effectExtent l="0" t="0" r="0" b="0"/>
          <wp:wrapSquare wrapText="bothSides"/>
          <wp:docPr id="1" name="Imagen 1" descr="C:\Users\Esther\Desktop\compromiso empresarial\logos\Fundación Compromiso y Transparencia\Lo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esktop\compromiso empresarial\logos\Fundación Compromiso y Transparencia\Logo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005"/>
                  <a:stretch/>
                </pic:blipFill>
                <pic:spPr bwMode="auto">
                  <a:xfrm>
                    <a:off x="0" y="0"/>
                    <a:ext cx="2054225" cy="582930"/>
                  </a:xfrm>
                  <a:prstGeom prst="rect">
                    <a:avLst/>
                  </a:prstGeom>
                  <a:noFill/>
                  <a:ln>
                    <a:noFill/>
                  </a:ln>
                  <a:extLst>
                    <a:ext uri="{53640926-AAD7-44D8-BBD7-CCE9431645EC}">
                      <a14:shadowObscured xmlns:a14="http://schemas.microsoft.com/office/drawing/2010/main"/>
                    </a:ext>
                  </a:extLst>
                </pic:spPr>
              </pic:pic>
            </a:graphicData>
          </a:graphic>
        </wp:anchor>
      </w:drawing>
    </w:r>
    <w:r w:rsidRPr="00563FAA">
      <w:rPr>
        <w:b/>
      </w:rPr>
      <w:t>NOTA DE PRENSA</w:t>
    </w:r>
  </w:p>
  <w:p w14:paraId="30AF9E85" w14:textId="77777777" w:rsidR="00700076" w:rsidRPr="00700076" w:rsidRDefault="00700076" w:rsidP="00700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57D"/>
    <w:multiLevelType w:val="hybridMultilevel"/>
    <w:tmpl w:val="B5E25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D952EF"/>
    <w:multiLevelType w:val="hybridMultilevel"/>
    <w:tmpl w:val="CFD826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D108E"/>
    <w:multiLevelType w:val="hybridMultilevel"/>
    <w:tmpl w:val="61AC5964"/>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AE7634"/>
    <w:multiLevelType w:val="hybridMultilevel"/>
    <w:tmpl w:val="6F98B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787526"/>
    <w:multiLevelType w:val="hybridMultilevel"/>
    <w:tmpl w:val="DB246EB0"/>
    <w:lvl w:ilvl="0" w:tplc="A1CCA4FC">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FE68F3"/>
    <w:multiLevelType w:val="hybridMultilevel"/>
    <w:tmpl w:val="E61418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900DD4"/>
    <w:multiLevelType w:val="hybridMultilevel"/>
    <w:tmpl w:val="4C689434"/>
    <w:lvl w:ilvl="0" w:tplc="1628530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78E5EE4"/>
    <w:multiLevelType w:val="hybridMultilevel"/>
    <w:tmpl w:val="4712D8A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5"/>
  </w:num>
  <w:num w:numId="2">
    <w:abstractNumId w:val="0"/>
  </w:num>
  <w:num w:numId="3">
    <w:abstractNumId w:val="3"/>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76"/>
    <w:rsid w:val="000067D0"/>
    <w:rsid w:val="00011503"/>
    <w:rsid w:val="000117DB"/>
    <w:rsid w:val="00030267"/>
    <w:rsid w:val="00041682"/>
    <w:rsid w:val="00054951"/>
    <w:rsid w:val="00056F01"/>
    <w:rsid w:val="00062025"/>
    <w:rsid w:val="00062C18"/>
    <w:rsid w:val="00075AA1"/>
    <w:rsid w:val="00080F0B"/>
    <w:rsid w:val="000A207C"/>
    <w:rsid w:val="000B15F6"/>
    <w:rsid w:val="000B255D"/>
    <w:rsid w:val="000C0430"/>
    <w:rsid w:val="000E47FE"/>
    <w:rsid w:val="00133195"/>
    <w:rsid w:val="00136531"/>
    <w:rsid w:val="00145C73"/>
    <w:rsid w:val="00145DEA"/>
    <w:rsid w:val="00146575"/>
    <w:rsid w:val="001616D5"/>
    <w:rsid w:val="00165D5D"/>
    <w:rsid w:val="001665F5"/>
    <w:rsid w:val="00174988"/>
    <w:rsid w:val="00176200"/>
    <w:rsid w:val="00191CD1"/>
    <w:rsid w:val="001A1F87"/>
    <w:rsid w:val="001B7909"/>
    <w:rsid w:val="001E1B5B"/>
    <w:rsid w:val="001E23F7"/>
    <w:rsid w:val="001E424F"/>
    <w:rsid w:val="00223B1E"/>
    <w:rsid w:val="00230176"/>
    <w:rsid w:val="002370BC"/>
    <w:rsid w:val="002473D0"/>
    <w:rsid w:val="002504D6"/>
    <w:rsid w:val="00251200"/>
    <w:rsid w:val="00255AE3"/>
    <w:rsid w:val="00255B02"/>
    <w:rsid w:val="00256F3C"/>
    <w:rsid w:val="002626FC"/>
    <w:rsid w:val="00274562"/>
    <w:rsid w:val="00276A50"/>
    <w:rsid w:val="002922B5"/>
    <w:rsid w:val="00294DFA"/>
    <w:rsid w:val="002D1E7C"/>
    <w:rsid w:val="002D49DA"/>
    <w:rsid w:val="002D593B"/>
    <w:rsid w:val="002E10EB"/>
    <w:rsid w:val="003002D8"/>
    <w:rsid w:val="00327DA6"/>
    <w:rsid w:val="00345D18"/>
    <w:rsid w:val="00360EF6"/>
    <w:rsid w:val="00380A76"/>
    <w:rsid w:val="00387337"/>
    <w:rsid w:val="00394BAD"/>
    <w:rsid w:val="003B20E8"/>
    <w:rsid w:val="003B344F"/>
    <w:rsid w:val="003C0422"/>
    <w:rsid w:val="003C135B"/>
    <w:rsid w:val="003C5E8E"/>
    <w:rsid w:val="003D0B90"/>
    <w:rsid w:val="003F16E1"/>
    <w:rsid w:val="003F4ECA"/>
    <w:rsid w:val="00405A8E"/>
    <w:rsid w:val="00423182"/>
    <w:rsid w:val="00433EBC"/>
    <w:rsid w:val="00444A57"/>
    <w:rsid w:val="004503EA"/>
    <w:rsid w:val="0045055F"/>
    <w:rsid w:val="004633CA"/>
    <w:rsid w:val="00476045"/>
    <w:rsid w:val="004777A3"/>
    <w:rsid w:val="00477FEE"/>
    <w:rsid w:val="004A0C47"/>
    <w:rsid w:val="004B50AE"/>
    <w:rsid w:val="004D09CF"/>
    <w:rsid w:val="004D0B9D"/>
    <w:rsid w:val="004E35C0"/>
    <w:rsid w:val="004F4FC4"/>
    <w:rsid w:val="004F7FD5"/>
    <w:rsid w:val="005027E0"/>
    <w:rsid w:val="005055A7"/>
    <w:rsid w:val="00506E36"/>
    <w:rsid w:val="005235F5"/>
    <w:rsid w:val="005338AA"/>
    <w:rsid w:val="00535F2C"/>
    <w:rsid w:val="00542241"/>
    <w:rsid w:val="00546CB1"/>
    <w:rsid w:val="00551A5B"/>
    <w:rsid w:val="00554C27"/>
    <w:rsid w:val="005563BC"/>
    <w:rsid w:val="005619B6"/>
    <w:rsid w:val="00562558"/>
    <w:rsid w:val="00566CE7"/>
    <w:rsid w:val="0057323B"/>
    <w:rsid w:val="005956E8"/>
    <w:rsid w:val="00595B76"/>
    <w:rsid w:val="005A094E"/>
    <w:rsid w:val="005C0D73"/>
    <w:rsid w:val="005D2BAB"/>
    <w:rsid w:val="005D45B1"/>
    <w:rsid w:val="005E3FC3"/>
    <w:rsid w:val="005F4B5B"/>
    <w:rsid w:val="006279F5"/>
    <w:rsid w:val="0063489D"/>
    <w:rsid w:val="00641262"/>
    <w:rsid w:val="00642720"/>
    <w:rsid w:val="00663A94"/>
    <w:rsid w:val="00670C21"/>
    <w:rsid w:val="00683FA2"/>
    <w:rsid w:val="00683FF3"/>
    <w:rsid w:val="0069067B"/>
    <w:rsid w:val="006955E8"/>
    <w:rsid w:val="006957F1"/>
    <w:rsid w:val="006A1F42"/>
    <w:rsid w:val="006B4DAA"/>
    <w:rsid w:val="006D0949"/>
    <w:rsid w:val="00700076"/>
    <w:rsid w:val="007006F2"/>
    <w:rsid w:val="007030E4"/>
    <w:rsid w:val="00705288"/>
    <w:rsid w:val="00721465"/>
    <w:rsid w:val="00730E51"/>
    <w:rsid w:val="00751A91"/>
    <w:rsid w:val="00757A85"/>
    <w:rsid w:val="00772F17"/>
    <w:rsid w:val="007878D3"/>
    <w:rsid w:val="007A018D"/>
    <w:rsid w:val="007C3303"/>
    <w:rsid w:val="007C49FA"/>
    <w:rsid w:val="007D19EF"/>
    <w:rsid w:val="007D72C9"/>
    <w:rsid w:val="007E48D4"/>
    <w:rsid w:val="007F175C"/>
    <w:rsid w:val="007F7165"/>
    <w:rsid w:val="0081136C"/>
    <w:rsid w:val="00815DAE"/>
    <w:rsid w:val="008167B4"/>
    <w:rsid w:val="00823A9A"/>
    <w:rsid w:val="00824D14"/>
    <w:rsid w:val="00854226"/>
    <w:rsid w:val="00854E93"/>
    <w:rsid w:val="00874C1F"/>
    <w:rsid w:val="00883134"/>
    <w:rsid w:val="008910F5"/>
    <w:rsid w:val="008C60DF"/>
    <w:rsid w:val="008C7BDD"/>
    <w:rsid w:val="008D4EF5"/>
    <w:rsid w:val="008D4FF3"/>
    <w:rsid w:val="008D79AE"/>
    <w:rsid w:val="008E284A"/>
    <w:rsid w:val="008F761D"/>
    <w:rsid w:val="009004D7"/>
    <w:rsid w:val="009078DB"/>
    <w:rsid w:val="00922A6E"/>
    <w:rsid w:val="00930643"/>
    <w:rsid w:val="009416BC"/>
    <w:rsid w:val="00942D01"/>
    <w:rsid w:val="00943E60"/>
    <w:rsid w:val="009445B4"/>
    <w:rsid w:val="00945EBF"/>
    <w:rsid w:val="00960932"/>
    <w:rsid w:val="00982AAD"/>
    <w:rsid w:val="00986845"/>
    <w:rsid w:val="00987B29"/>
    <w:rsid w:val="009A7E4A"/>
    <w:rsid w:val="009C487A"/>
    <w:rsid w:val="009F14F4"/>
    <w:rsid w:val="009F3217"/>
    <w:rsid w:val="009F6376"/>
    <w:rsid w:val="00A052F6"/>
    <w:rsid w:val="00A40BDC"/>
    <w:rsid w:val="00A4159F"/>
    <w:rsid w:val="00A607F5"/>
    <w:rsid w:val="00A6585D"/>
    <w:rsid w:val="00A679F7"/>
    <w:rsid w:val="00A67C9C"/>
    <w:rsid w:val="00A8115D"/>
    <w:rsid w:val="00A86FD0"/>
    <w:rsid w:val="00AB7C18"/>
    <w:rsid w:val="00AD2675"/>
    <w:rsid w:val="00B00BA8"/>
    <w:rsid w:val="00B01688"/>
    <w:rsid w:val="00B05BD2"/>
    <w:rsid w:val="00B114E6"/>
    <w:rsid w:val="00B305EE"/>
    <w:rsid w:val="00B35E10"/>
    <w:rsid w:val="00B4133E"/>
    <w:rsid w:val="00B5171B"/>
    <w:rsid w:val="00B80F86"/>
    <w:rsid w:val="00B87C05"/>
    <w:rsid w:val="00B923F2"/>
    <w:rsid w:val="00B93305"/>
    <w:rsid w:val="00B964C9"/>
    <w:rsid w:val="00BB70BA"/>
    <w:rsid w:val="00BC058C"/>
    <w:rsid w:val="00BC57D4"/>
    <w:rsid w:val="00C01DBC"/>
    <w:rsid w:val="00C14794"/>
    <w:rsid w:val="00C14951"/>
    <w:rsid w:val="00C2260B"/>
    <w:rsid w:val="00C34C9C"/>
    <w:rsid w:val="00C35BA5"/>
    <w:rsid w:val="00C36DF4"/>
    <w:rsid w:val="00C40645"/>
    <w:rsid w:val="00C43753"/>
    <w:rsid w:val="00C52709"/>
    <w:rsid w:val="00C628F3"/>
    <w:rsid w:val="00C652BA"/>
    <w:rsid w:val="00C8093C"/>
    <w:rsid w:val="00C871A9"/>
    <w:rsid w:val="00C87378"/>
    <w:rsid w:val="00CA768D"/>
    <w:rsid w:val="00CB086E"/>
    <w:rsid w:val="00CD0348"/>
    <w:rsid w:val="00D01204"/>
    <w:rsid w:val="00D04622"/>
    <w:rsid w:val="00D37A6A"/>
    <w:rsid w:val="00D471F6"/>
    <w:rsid w:val="00D564A2"/>
    <w:rsid w:val="00D924D0"/>
    <w:rsid w:val="00DA1D27"/>
    <w:rsid w:val="00DA492C"/>
    <w:rsid w:val="00DB351F"/>
    <w:rsid w:val="00DE7429"/>
    <w:rsid w:val="00DF1927"/>
    <w:rsid w:val="00DF1BC3"/>
    <w:rsid w:val="00E0034C"/>
    <w:rsid w:val="00E039FA"/>
    <w:rsid w:val="00E244A1"/>
    <w:rsid w:val="00E25B32"/>
    <w:rsid w:val="00E41824"/>
    <w:rsid w:val="00E5066D"/>
    <w:rsid w:val="00E565F4"/>
    <w:rsid w:val="00E67075"/>
    <w:rsid w:val="00E6769C"/>
    <w:rsid w:val="00E67CDE"/>
    <w:rsid w:val="00E85B6D"/>
    <w:rsid w:val="00E870D8"/>
    <w:rsid w:val="00EA1BCF"/>
    <w:rsid w:val="00EA2C34"/>
    <w:rsid w:val="00EB7EBD"/>
    <w:rsid w:val="00ED0351"/>
    <w:rsid w:val="00ED5C3E"/>
    <w:rsid w:val="00EE0C0F"/>
    <w:rsid w:val="00EF2296"/>
    <w:rsid w:val="00EF4915"/>
    <w:rsid w:val="00EF5065"/>
    <w:rsid w:val="00F00092"/>
    <w:rsid w:val="00F01159"/>
    <w:rsid w:val="00F12C6B"/>
    <w:rsid w:val="00F2088A"/>
    <w:rsid w:val="00F21C5D"/>
    <w:rsid w:val="00F22E90"/>
    <w:rsid w:val="00F25771"/>
    <w:rsid w:val="00F34055"/>
    <w:rsid w:val="00F37A2A"/>
    <w:rsid w:val="00F45C76"/>
    <w:rsid w:val="00F66689"/>
    <w:rsid w:val="00F735BF"/>
    <w:rsid w:val="00F9692F"/>
    <w:rsid w:val="00FA36EB"/>
    <w:rsid w:val="00FA5B08"/>
    <w:rsid w:val="00FC3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93EF"/>
  <w15:docId w15:val="{F2FC19A0-06BE-4120-9B11-982C7DF1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76"/>
    <w:pPr>
      <w:tabs>
        <w:tab w:val="center" w:pos="4252"/>
        <w:tab w:val="right" w:pos="8504"/>
      </w:tabs>
      <w:spacing w:after="0" w:line="240" w:lineRule="auto"/>
    </w:pPr>
  </w:style>
  <w:style w:type="character" w:customStyle="1" w:styleId="HeaderChar">
    <w:name w:val="Header Char"/>
    <w:basedOn w:val="DefaultParagraphFont"/>
    <w:link w:val="Header"/>
    <w:uiPriority w:val="99"/>
    <w:rsid w:val="00700076"/>
  </w:style>
  <w:style w:type="paragraph" w:styleId="Footer">
    <w:name w:val="footer"/>
    <w:basedOn w:val="Normal"/>
    <w:link w:val="FooterChar"/>
    <w:uiPriority w:val="99"/>
    <w:unhideWhenUsed/>
    <w:rsid w:val="00700076"/>
    <w:pPr>
      <w:tabs>
        <w:tab w:val="center" w:pos="4252"/>
        <w:tab w:val="right" w:pos="8504"/>
      </w:tabs>
      <w:spacing w:after="0" w:line="240" w:lineRule="auto"/>
    </w:pPr>
  </w:style>
  <w:style w:type="character" w:customStyle="1" w:styleId="FooterChar">
    <w:name w:val="Footer Char"/>
    <w:basedOn w:val="DefaultParagraphFont"/>
    <w:link w:val="Footer"/>
    <w:uiPriority w:val="99"/>
    <w:rsid w:val="00700076"/>
  </w:style>
  <w:style w:type="paragraph" w:styleId="ListParagraph">
    <w:name w:val="List Paragraph"/>
    <w:basedOn w:val="Normal"/>
    <w:uiPriority w:val="34"/>
    <w:qFormat/>
    <w:rsid w:val="00700076"/>
    <w:pPr>
      <w:ind w:left="720"/>
      <w:contextualSpacing/>
    </w:pPr>
  </w:style>
  <w:style w:type="character" w:styleId="Hyperlink">
    <w:name w:val="Hyperlink"/>
    <w:basedOn w:val="DefaultParagraphFont"/>
    <w:uiPriority w:val="99"/>
    <w:unhideWhenUsed/>
    <w:rsid w:val="00700076"/>
    <w:rPr>
      <w:color w:val="0563C1" w:themeColor="hyperlink"/>
      <w:u w:val="single"/>
    </w:rPr>
  </w:style>
  <w:style w:type="paragraph" w:styleId="EndnoteText">
    <w:name w:val="endnote text"/>
    <w:basedOn w:val="Normal"/>
    <w:link w:val="EndnoteTextChar"/>
    <w:uiPriority w:val="99"/>
    <w:semiHidden/>
    <w:unhideWhenUsed/>
    <w:rsid w:val="001E2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3F7"/>
    <w:rPr>
      <w:sz w:val="20"/>
      <w:szCs w:val="20"/>
    </w:rPr>
  </w:style>
  <w:style w:type="character" w:styleId="EndnoteReference">
    <w:name w:val="endnote reference"/>
    <w:basedOn w:val="DefaultParagraphFont"/>
    <w:uiPriority w:val="99"/>
    <w:semiHidden/>
    <w:unhideWhenUsed/>
    <w:rsid w:val="001E23F7"/>
    <w:rPr>
      <w:vertAlign w:val="superscript"/>
    </w:rPr>
  </w:style>
  <w:style w:type="character" w:styleId="FollowedHyperlink">
    <w:name w:val="FollowedHyperlink"/>
    <w:basedOn w:val="DefaultParagraphFont"/>
    <w:uiPriority w:val="99"/>
    <w:semiHidden/>
    <w:unhideWhenUsed/>
    <w:rsid w:val="00387337"/>
    <w:rPr>
      <w:color w:val="954F72" w:themeColor="followedHyperlink"/>
      <w:u w:val="single"/>
    </w:rPr>
  </w:style>
  <w:style w:type="paragraph" w:styleId="FootnoteText">
    <w:name w:val="footnote text"/>
    <w:basedOn w:val="Normal"/>
    <w:link w:val="FootnoteTextChar"/>
    <w:uiPriority w:val="99"/>
    <w:semiHidden/>
    <w:unhideWhenUsed/>
    <w:rsid w:val="000115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503"/>
    <w:rPr>
      <w:sz w:val="20"/>
      <w:szCs w:val="20"/>
    </w:rPr>
  </w:style>
  <w:style w:type="character" w:styleId="FootnoteReference">
    <w:name w:val="footnote reference"/>
    <w:basedOn w:val="DefaultParagraphFont"/>
    <w:uiPriority w:val="99"/>
    <w:semiHidden/>
    <w:unhideWhenUsed/>
    <w:rsid w:val="00011503"/>
    <w:rPr>
      <w:vertAlign w:val="superscript"/>
    </w:rPr>
  </w:style>
  <w:style w:type="character" w:customStyle="1" w:styleId="UnresolvedMention">
    <w:name w:val="Unresolved Mention"/>
    <w:basedOn w:val="DefaultParagraphFont"/>
    <w:uiPriority w:val="99"/>
    <w:semiHidden/>
    <w:unhideWhenUsed/>
    <w:rsid w:val="00854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5223">
      <w:bodyDiv w:val="1"/>
      <w:marLeft w:val="0"/>
      <w:marRight w:val="0"/>
      <w:marTop w:val="0"/>
      <w:marBottom w:val="0"/>
      <w:divBdr>
        <w:top w:val="none" w:sz="0" w:space="0" w:color="auto"/>
        <w:left w:val="none" w:sz="0" w:space="0" w:color="auto"/>
        <w:bottom w:val="none" w:sz="0" w:space="0" w:color="auto"/>
        <w:right w:val="none" w:sz="0" w:space="0" w:color="auto"/>
      </w:divBdr>
    </w:div>
    <w:div w:id="210770568">
      <w:bodyDiv w:val="1"/>
      <w:marLeft w:val="0"/>
      <w:marRight w:val="0"/>
      <w:marTop w:val="0"/>
      <w:marBottom w:val="0"/>
      <w:divBdr>
        <w:top w:val="none" w:sz="0" w:space="0" w:color="auto"/>
        <w:left w:val="none" w:sz="0" w:space="0" w:color="auto"/>
        <w:bottom w:val="none" w:sz="0" w:space="0" w:color="auto"/>
        <w:right w:val="none" w:sz="0" w:space="0" w:color="auto"/>
      </w:divBdr>
    </w:div>
    <w:div w:id="263153646">
      <w:bodyDiv w:val="1"/>
      <w:marLeft w:val="0"/>
      <w:marRight w:val="0"/>
      <w:marTop w:val="0"/>
      <w:marBottom w:val="0"/>
      <w:divBdr>
        <w:top w:val="none" w:sz="0" w:space="0" w:color="auto"/>
        <w:left w:val="none" w:sz="0" w:space="0" w:color="auto"/>
        <w:bottom w:val="none" w:sz="0" w:space="0" w:color="auto"/>
        <w:right w:val="none" w:sz="0" w:space="0" w:color="auto"/>
      </w:divBdr>
    </w:div>
    <w:div w:id="289748327">
      <w:bodyDiv w:val="1"/>
      <w:marLeft w:val="0"/>
      <w:marRight w:val="0"/>
      <w:marTop w:val="0"/>
      <w:marBottom w:val="0"/>
      <w:divBdr>
        <w:top w:val="none" w:sz="0" w:space="0" w:color="auto"/>
        <w:left w:val="none" w:sz="0" w:space="0" w:color="auto"/>
        <w:bottom w:val="none" w:sz="0" w:space="0" w:color="auto"/>
        <w:right w:val="none" w:sz="0" w:space="0" w:color="auto"/>
      </w:divBdr>
    </w:div>
    <w:div w:id="495001713">
      <w:bodyDiv w:val="1"/>
      <w:marLeft w:val="0"/>
      <w:marRight w:val="0"/>
      <w:marTop w:val="0"/>
      <w:marBottom w:val="0"/>
      <w:divBdr>
        <w:top w:val="none" w:sz="0" w:space="0" w:color="auto"/>
        <w:left w:val="none" w:sz="0" w:space="0" w:color="auto"/>
        <w:bottom w:val="none" w:sz="0" w:space="0" w:color="auto"/>
        <w:right w:val="none" w:sz="0" w:space="0" w:color="auto"/>
      </w:divBdr>
    </w:div>
    <w:div w:id="591594670">
      <w:bodyDiv w:val="1"/>
      <w:marLeft w:val="0"/>
      <w:marRight w:val="0"/>
      <w:marTop w:val="0"/>
      <w:marBottom w:val="0"/>
      <w:divBdr>
        <w:top w:val="none" w:sz="0" w:space="0" w:color="auto"/>
        <w:left w:val="none" w:sz="0" w:space="0" w:color="auto"/>
        <w:bottom w:val="none" w:sz="0" w:space="0" w:color="auto"/>
        <w:right w:val="none" w:sz="0" w:space="0" w:color="auto"/>
      </w:divBdr>
    </w:div>
    <w:div w:id="642808625">
      <w:bodyDiv w:val="1"/>
      <w:marLeft w:val="0"/>
      <w:marRight w:val="0"/>
      <w:marTop w:val="0"/>
      <w:marBottom w:val="0"/>
      <w:divBdr>
        <w:top w:val="none" w:sz="0" w:space="0" w:color="auto"/>
        <w:left w:val="none" w:sz="0" w:space="0" w:color="auto"/>
        <w:bottom w:val="none" w:sz="0" w:space="0" w:color="auto"/>
        <w:right w:val="none" w:sz="0" w:space="0" w:color="auto"/>
      </w:divBdr>
    </w:div>
    <w:div w:id="754016625">
      <w:bodyDiv w:val="1"/>
      <w:marLeft w:val="0"/>
      <w:marRight w:val="0"/>
      <w:marTop w:val="0"/>
      <w:marBottom w:val="0"/>
      <w:divBdr>
        <w:top w:val="none" w:sz="0" w:space="0" w:color="auto"/>
        <w:left w:val="none" w:sz="0" w:space="0" w:color="auto"/>
        <w:bottom w:val="none" w:sz="0" w:space="0" w:color="auto"/>
        <w:right w:val="none" w:sz="0" w:space="0" w:color="auto"/>
      </w:divBdr>
    </w:div>
    <w:div w:id="878203370">
      <w:bodyDiv w:val="1"/>
      <w:marLeft w:val="0"/>
      <w:marRight w:val="0"/>
      <w:marTop w:val="0"/>
      <w:marBottom w:val="0"/>
      <w:divBdr>
        <w:top w:val="none" w:sz="0" w:space="0" w:color="auto"/>
        <w:left w:val="none" w:sz="0" w:space="0" w:color="auto"/>
        <w:bottom w:val="none" w:sz="0" w:space="0" w:color="auto"/>
        <w:right w:val="none" w:sz="0" w:space="0" w:color="auto"/>
      </w:divBdr>
    </w:div>
    <w:div w:id="878276052">
      <w:bodyDiv w:val="1"/>
      <w:marLeft w:val="0"/>
      <w:marRight w:val="0"/>
      <w:marTop w:val="0"/>
      <w:marBottom w:val="0"/>
      <w:divBdr>
        <w:top w:val="none" w:sz="0" w:space="0" w:color="auto"/>
        <w:left w:val="none" w:sz="0" w:space="0" w:color="auto"/>
        <w:bottom w:val="none" w:sz="0" w:space="0" w:color="auto"/>
        <w:right w:val="none" w:sz="0" w:space="0" w:color="auto"/>
      </w:divBdr>
    </w:div>
    <w:div w:id="894780612">
      <w:bodyDiv w:val="1"/>
      <w:marLeft w:val="0"/>
      <w:marRight w:val="0"/>
      <w:marTop w:val="0"/>
      <w:marBottom w:val="0"/>
      <w:divBdr>
        <w:top w:val="none" w:sz="0" w:space="0" w:color="auto"/>
        <w:left w:val="none" w:sz="0" w:space="0" w:color="auto"/>
        <w:bottom w:val="none" w:sz="0" w:space="0" w:color="auto"/>
        <w:right w:val="none" w:sz="0" w:space="0" w:color="auto"/>
      </w:divBdr>
    </w:div>
    <w:div w:id="1107114023">
      <w:bodyDiv w:val="1"/>
      <w:marLeft w:val="0"/>
      <w:marRight w:val="0"/>
      <w:marTop w:val="0"/>
      <w:marBottom w:val="0"/>
      <w:divBdr>
        <w:top w:val="none" w:sz="0" w:space="0" w:color="auto"/>
        <w:left w:val="none" w:sz="0" w:space="0" w:color="auto"/>
        <w:bottom w:val="none" w:sz="0" w:space="0" w:color="auto"/>
        <w:right w:val="none" w:sz="0" w:space="0" w:color="auto"/>
      </w:divBdr>
    </w:div>
    <w:div w:id="1246568430">
      <w:bodyDiv w:val="1"/>
      <w:marLeft w:val="0"/>
      <w:marRight w:val="0"/>
      <w:marTop w:val="0"/>
      <w:marBottom w:val="0"/>
      <w:divBdr>
        <w:top w:val="none" w:sz="0" w:space="0" w:color="auto"/>
        <w:left w:val="none" w:sz="0" w:space="0" w:color="auto"/>
        <w:bottom w:val="none" w:sz="0" w:space="0" w:color="auto"/>
        <w:right w:val="none" w:sz="0" w:space="0" w:color="auto"/>
      </w:divBdr>
    </w:div>
    <w:div w:id="1437142187">
      <w:bodyDiv w:val="1"/>
      <w:marLeft w:val="0"/>
      <w:marRight w:val="0"/>
      <w:marTop w:val="0"/>
      <w:marBottom w:val="0"/>
      <w:divBdr>
        <w:top w:val="none" w:sz="0" w:space="0" w:color="auto"/>
        <w:left w:val="none" w:sz="0" w:space="0" w:color="auto"/>
        <w:bottom w:val="none" w:sz="0" w:space="0" w:color="auto"/>
        <w:right w:val="none" w:sz="0" w:space="0" w:color="auto"/>
      </w:divBdr>
    </w:div>
    <w:div w:id="1474446993">
      <w:bodyDiv w:val="1"/>
      <w:marLeft w:val="0"/>
      <w:marRight w:val="0"/>
      <w:marTop w:val="0"/>
      <w:marBottom w:val="0"/>
      <w:divBdr>
        <w:top w:val="none" w:sz="0" w:space="0" w:color="auto"/>
        <w:left w:val="none" w:sz="0" w:space="0" w:color="auto"/>
        <w:bottom w:val="none" w:sz="0" w:space="0" w:color="auto"/>
        <w:right w:val="none" w:sz="0" w:space="0" w:color="auto"/>
      </w:divBdr>
    </w:div>
    <w:div w:id="1807548803">
      <w:bodyDiv w:val="1"/>
      <w:marLeft w:val="0"/>
      <w:marRight w:val="0"/>
      <w:marTop w:val="0"/>
      <w:marBottom w:val="0"/>
      <w:divBdr>
        <w:top w:val="none" w:sz="0" w:space="0" w:color="auto"/>
        <w:left w:val="none" w:sz="0" w:space="0" w:color="auto"/>
        <w:bottom w:val="none" w:sz="0" w:space="0" w:color="auto"/>
        <w:right w:val="none" w:sz="0" w:space="0" w:color="auto"/>
      </w:divBdr>
    </w:div>
    <w:div w:id="1869289578">
      <w:bodyDiv w:val="1"/>
      <w:marLeft w:val="0"/>
      <w:marRight w:val="0"/>
      <w:marTop w:val="0"/>
      <w:marBottom w:val="0"/>
      <w:divBdr>
        <w:top w:val="none" w:sz="0" w:space="0" w:color="auto"/>
        <w:left w:val="none" w:sz="0" w:space="0" w:color="auto"/>
        <w:bottom w:val="none" w:sz="0" w:space="0" w:color="auto"/>
        <w:right w:val="none" w:sz="0" w:space="0" w:color="auto"/>
      </w:divBdr>
    </w:div>
    <w:div w:id="18732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omisoytransparencia.com/informes/carrera-y-talento-senior-informe-de-transparencia-y-buen-gobierno-sobre-la-gestion-del-talento-senior-en-las-empresas-del-ibex-3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arrio@compromisoempresari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ionselectiv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omisoytransparencia.com" TargetMode="External"/><Relationship Id="rId4" Type="http://schemas.openxmlformats.org/officeDocument/2006/relationships/settings" Target="settings.xml"/><Relationship Id="rId9" Type="http://schemas.openxmlformats.org/officeDocument/2006/relationships/hyperlink" Target="http://www.compromisoytransparenc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5211E-3C46-46B1-A60D-39504843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1421</Words>
  <Characters>7820</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Barrio</dc:creator>
  <cp:lastModifiedBy>Esther Barrio Medina</cp:lastModifiedBy>
  <cp:revision>5</cp:revision>
  <dcterms:created xsi:type="dcterms:W3CDTF">2019-05-31T13:44:00Z</dcterms:created>
  <dcterms:modified xsi:type="dcterms:W3CDTF">2019-06-04T15:20:00Z</dcterms:modified>
</cp:coreProperties>
</file>