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80" w:rsidRPr="002B6080" w:rsidRDefault="002B6080" w:rsidP="002B6080">
      <w:pPr>
        <w:jc w:val="center"/>
        <w:rPr>
          <w:rFonts w:asciiTheme="minorHAnsi" w:hAnsiTheme="minorHAnsi" w:cstheme="minorHAnsi"/>
          <w:i/>
          <w:sz w:val="22"/>
        </w:rPr>
      </w:pPr>
      <w:r w:rsidRPr="002B6080">
        <w:rPr>
          <w:rFonts w:asciiTheme="minorHAnsi" w:hAnsiTheme="minorHAnsi" w:cstheme="minorHAnsi"/>
          <w:i/>
          <w:sz w:val="22"/>
        </w:rPr>
        <w:t xml:space="preserve">Según el </w:t>
      </w:r>
      <w:r w:rsidRPr="002B6080">
        <w:rPr>
          <w:rFonts w:asciiTheme="minorHAnsi" w:hAnsiTheme="minorHAnsi" w:cstheme="minorHAnsi"/>
          <w:i/>
          <w:sz w:val="22"/>
        </w:rPr>
        <w:t>sexto</w:t>
      </w:r>
      <w:r w:rsidRPr="002B6080">
        <w:rPr>
          <w:rFonts w:asciiTheme="minorHAnsi" w:hAnsiTheme="minorHAnsi" w:cstheme="minorHAnsi"/>
          <w:i/>
          <w:sz w:val="22"/>
        </w:rPr>
        <w:t xml:space="preserve"> informe ‘Contribución y transparencia’</w:t>
      </w:r>
    </w:p>
    <w:p w:rsidR="002A5718" w:rsidRPr="002B6080" w:rsidRDefault="002F59C5" w:rsidP="002F59C5">
      <w:pPr>
        <w:jc w:val="both"/>
        <w:rPr>
          <w:rFonts w:asciiTheme="minorHAnsi" w:hAnsiTheme="minorHAnsi" w:cstheme="minorHAnsi"/>
          <w:b/>
          <w:i/>
          <w:sz w:val="36"/>
        </w:rPr>
      </w:pPr>
      <w:r w:rsidRPr="002B6080">
        <w:rPr>
          <w:rFonts w:asciiTheme="minorHAnsi" w:hAnsiTheme="minorHAnsi" w:cstheme="minorHAnsi"/>
          <w:b/>
          <w:i/>
          <w:sz w:val="36"/>
        </w:rPr>
        <w:t>Endesa y Red Eléctrica</w:t>
      </w:r>
      <w:r w:rsidR="002B6080">
        <w:rPr>
          <w:rFonts w:asciiTheme="minorHAnsi" w:hAnsiTheme="minorHAnsi" w:cstheme="minorHAnsi"/>
          <w:b/>
          <w:i/>
          <w:sz w:val="36"/>
        </w:rPr>
        <w:t>,</w:t>
      </w:r>
      <w:r w:rsidRPr="002B6080">
        <w:rPr>
          <w:rFonts w:asciiTheme="minorHAnsi" w:hAnsiTheme="minorHAnsi" w:cstheme="minorHAnsi"/>
          <w:b/>
          <w:i/>
          <w:sz w:val="36"/>
        </w:rPr>
        <w:t xml:space="preserve"> las empresas del IBEX</w:t>
      </w:r>
      <w:r w:rsidR="00966383" w:rsidRPr="002B6080">
        <w:rPr>
          <w:rFonts w:asciiTheme="minorHAnsi" w:hAnsiTheme="minorHAnsi" w:cstheme="minorHAnsi"/>
          <w:b/>
          <w:i/>
          <w:sz w:val="36"/>
        </w:rPr>
        <w:t xml:space="preserve"> </w:t>
      </w:r>
      <w:r w:rsidRPr="002B6080">
        <w:rPr>
          <w:rFonts w:asciiTheme="minorHAnsi" w:hAnsiTheme="minorHAnsi" w:cstheme="minorHAnsi"/>
          <w:b/>
          <w:i/>
          <w:sz w:val="36"/>
        </w:rPr>
        <w:t xml:space="preserve">35 más transparentes </w:t>
      </w:r>
      <w:r w:rsidR="002B6080">
        <w:rPr>
          <w:rFonts w:asciiTheme="minorHAnsi" w:hAnsiTheme="minorHAnsi" w:cstheme="minorHAnsi"/>
          <w:b/>
          <w:i/>
          <w:sz w:val="36"/>
        </w:rPr>
        <w:t>sobre su</w:t>
      </w:r>
      <w:r w:rsidRPr="002B6080">
        <w:rPr>
          <w:rFonts w:asciiTheme="minorHAnsi" w:hAnsiTheme="minorHAnsi" w:cstheme="minorHAnsi"/>
          <w:b/>
          <w:i/>
          <w:sz w:val="36"/>
        </w:rPr>
        <w:t xml:space="preserve"> responsabilidad fiscal</w:t>
      </w:r>
    </w:p>
    <w:p w:rsidR="002F59C5" w:rsidRPr="002B6080" w:rsidRDefault="002F59C5" w:rsidP="002F59C5">
      <w:pPr>
        <w:pStyle w:val="ListParagraph"/>
        <w:numPr>
          <w:ilvl w:val="0"/>
          <w:numId w:val="1"/>
        </w:numPr>
        <w:rPr>
          <w:rFonts w:asciiTheme="minorHAnsi" w:hAnsiTheme="minorHAnsi" w:cstheme="minorHAnsi"/>
          <w:sz w:val="22"/>
        </w:rPr>
      </w:pPr>
      <w:r w:rsidRPr="002B6080">
        <w:rPr>
          <w:rFonts w:asciiTheme="minorHAnsi" w:hAnsiTheme="minorHAnsi" w:cstheme="minorHAnsi"/>
          <w:sz w:val="22"/>
        </w:rPr>
        <w:t>Las empresas del IBEX</w:t>
      </w:r>
      <w:r w:rsidR="00966383" w:rsidRPr="002B6080">
        <w:rPr>
          <w:rFonts w:asciiTheme="minorHAnsi" w:hAnsiTheme="minorHAnsi" w:cstheme="minorHAnsi"/>
          <w:sz w:val="22"/>
        </w:rPr>
        <w:t xml:space="preserve"> 35</w:t>
      </w:r>
      <w:r w:rsidRPr="002B6080">
        <w:rPr>
          <w:rFonts w:asciiTheme="minorHAnsi" w:hAnsiTheme="minorHAnsi" w:cstheme="minorHAnsi"/>
          <w:sz w:val="22"/>
        </w:rPr>
        <w:t xml:space="preserve"> experimentan una mejoría notable en su información sobre la responsabilidad fiscal</w:t>
      </w:r>
      <w:r w:rsidR="00966383" w:rsidRPr="002B6080">
        <w:rPr>
          <w:rFonts w:asciiTheme="minorHAnsi" w:hAnsiTheme="minorHAnsi" w:cstheme="minorHAnsi"/>
          <w:sz w:val="22"/>
        </w:rPr>
        <w:t>.</w:t>
      </w:r>
    </w:p>
    <w:p w:rsidR="002F59C5" w:rsidRPr="002B6080" w:rsidRDefault="002F59C5" w:rsidP="002F59C5">
      <w:pPr>
        <w:pStyle w:val="ListParagraph"/>
        <w:numPr>
          <w:ilvl w:val="0"/>
          <w:numId w:val="1"/>
        </w:numPr>
        <w:rPr>
          <w:rFonts w:asciiTheme="minorHAnsi" w:hAnsiTheme="minorHAnsi" w:cstheme="minorHAnsi"/>
          <w:sz w:val="22"/>
        </w:rPr>
      </w:pPr>
      <w:r w:rsidRPr="002B6080">
        <w:rPr>
          <w:rFonts w:asciiTheme="minorHAnsi" w:hAnsiTheme="minorHAnsi" w:cstheme="minorHAnsi"/>
          <w:sz w:val="22"/>
        </w:rPr>
        <w:t xml:space="preserve">El sector energético encabeza un año más el ranking de transparencia con cuatro empresas calificadas de </w:t>
      </w:r>
      <w:r w:rsidR="00966383" w:rsidRPr="002B6080">
        <w:rPr>
          <w:rFonts w:asciiTheme="minorHAnsi" w:hAnsiTheme="minorHAnsi" w:cstheme="minorHAnsi"/>
          <w:sz w:val="22"/>
        </w:rPr>
        <w:t>‘</w:t>
      </w:r>
      <w:r w:rsidRPr="002B6080">
        <w:rPr>
          <w:rFonts w:asciiTheme="minorHAnsi" w:hAnsiTheme="minorHAnsi" w:cstheme="minorHAnsi"/>
          <w:sz w:val="22"/>
        </w:rPr>
        <w:t>transparentes</w:t>
      </w:r>
      <w:r w:rsidR="00966383" w:rsidRPr="002B6080">
        <w:rPr>
          <w:rFonts w:asciiTheme="minorHAnsi" w:hAnsiTheme="minorHAnsi" w:cstheme="minorHAnsi"/>
          <w:sz w:val="22"/>
        </w:rPr>
        <w:t>’.</w:t>
      </w:r>
    </w:p>
    <w:p w:rsidR="002F59C5" w:rsidRDefault="00135996" w:rsidP="002F59C5">
      <w:pPr>
        <w:pStyle w:val="ListParagraph"/>
        <w:numPr>
          <w:ilvl w:val="0"/>
          <w:numId w:val="1"/>
        </w:numPr>
        <w:rPr>
          <w:rFonts w:asciiTheme="minorHAnsi" w:hAnsiTheme="minorHAnsi" w:cstheme="minorHAnsi"/>
          <w:sz w:val="22"/>
        </w:rPr>
      </w:pPr>
      <w:r w:rsidRPr="002B6080">
        <w:rPr>
          <w:rFonts w:asciiTheme="minorHAnsi" w:hAnsiTheme="minorHAnsi" w:cstheme="minorHAnsi"/>
          <w:sz w:val="22"/>
        </w:rPr>
        <w:t>La falta de independencia del auditor externo y de rendición de cuentas de los comités de auditoría son las principales áreas de mejora</w:t>
      </w:r>
      <w:r w:rsidR="00966383" w:rsidRPr="002B6080">
        <w:rPr>
          <w:rFonts w:asciiTheme="minorHAnsi" w:hAnsiTheme="minorHAnsi" w:cstheme="minorHAnsi"/>
          <w:sz w:val="22"/>
        </w:rPr>
        <w:t>.</w:t>
      </w:r>
    </w:p>
    <w:p w:rsidR="002B6080" w:rsidRPr="002B6080" w:rsidRDefault="002B6080" w:rsidP="002B6080">
      <w:pPr>
        <w:pStyle w:val="ListParagraph"/>
        <w:rPr>
          <w:rFonts w:asciiTheme="minorHAnsi" w:hAnsiTheme="minorHAnsi" w:cstheme="minorHAnsi"/>
          <w:sz w:val="22"/>
        </w:rPr>
      </w:pPr>
      <w:bookmarkStart w:id="0" w:name="_GoBack"/>
      <w:bookmarkEnd w:id="0"/>
    </w:p>
    <w:p w:rsidR="00966383" w:rsidRPr="002B6080" w:rsidRDefault="002B6080" w:rsidP="00010DBE">
      <w:pPr>
        <w:jc w:val="both"/>
        <w:rPr>
          <w:rFonts w:asciiTheme="minorHAnsi" w:hAnsiTheme="minorHAnsi" w:cstheme="minorHAnsi"/>
          <w:sz w:val="22"/>
        </w:rPr>
      </w:pPr>
      <w:r w:rsidRPr="002B6080">
        <w:rPr>
          <w:rFonts w:asciiTheme="minorHAnsi" w:hAnsiTheme="minorHAnsi" w:cstheme="minorHAnsi"/>
          <w:b/>
          <w:sz w:val="22"/>
        </w:rPr>
        <w:t>Madrid, 15 de junio de 2020.</w:t>
      </w:r>
      <w:r>
        <w:rPr>
          <w:rFonts w:asciiTheme="minorHAnsi" w:hAnsiTheme="minorHAnsi" w:cstheme="minorHAnsi"/>
          <w:sz w:val="22"/>
        </w:rPr>
        <w:t xml:space="preserve"> </w:t>
      </w:r>
      <w:r w:rsidR="002F59C5" w:rsidRPr="002B6080">
        <w:rPr>
          <w:rFonts w:asciiTheme="minorHAnsi" w:hAnsiTheme="minorHAnsi" w:cstheme="minorHAnsi"/>
          <w:sz w:val="22"/>
        </w:rPr>
        <w:t xml:space="preserve">El sexto informe </w:t>
      </w:r>
      <w:r w:rsidR="002F59C5" w:rsidRPr="002B6080">
        <w:rPr>
          <w:rFonts w:asciiTheme="minorHAnsi" w:hAnsiTheme="minorHAnsi" w:cstheme="minorHAnsi"/>
          <w:i/>
          <w:sz w:val="22"/>
        </w:rPr>
        <w:t>Contribución y transparencia</w:t>
      </w:r>
      <w:r w:rsidR="002F59C5" w:rsidRPr="002B6080">
        <w:rPr>
          <w:rFonts w:asciiTheme="minorHAnsi" w:hAnsiTheme="minorHAnsi" w:cstheme="minorHAnsi"/>
          <w:sz w:val="22"/>
        </w:rPr>
        <w:t xml:space="preserve"> sobre responsabi</w:t>
      </w:r>
      <w:r w:rsidR="00010DBE" w:rsidRPr="002B6080">
        <w:rPr>
          <w:rFonts w:asciiTheme="minorHAnsi" w:hAnsiTheme="minorHAnsi" w:cstheme="minorHAnsi"/>
          <w:sz w:val="22"/>
        </w:rPr>
        <w:t>lidad fiscal de las empresas del</w:t>
      </w:r>
      <w:r w:rsidR="00966383" w:rsidRPr="002B6080">
        <w:rPr>
          <w:rFonts w:asciiTheme="minorHAnsi" w:hAnsiTheme="minorHAnsi" w:cstheme="minorHAnsi"/>
          <w:sz w:val="22"/>
        </w:rPr>
        <w:t xml:space="preserve"> IBEX </w:t>
      </w:r>
      <w:r w:rsidR="002F59C5" w:rsidRPr="002B6080">
        <w:rPr>
          <w:rFonts w:asciiTheme="minorHAnsi" w:hAnsiTheme="minorHAnsi" w:cstheme="minorHAnsi"/>
          <w:sz w:val="22"/>
        </w:rPr>
        <w:t>35</w:t>
      </w:r>
      <w:r w:rsidR="00966383" w:rsidRPr="002B6080">
        <w:rPr>
          <w:rFonts w:asciiTheme="minorHAnsi" w:hAnsiTheme="minorHAnsi" w:cstheme="minorHAnsi"/>
          <w:sz w:val="22"/>
        </w:rPr>
        <w:t xml:space="preserve">, elaborado por la </w:t>
      </w:r>
      <w:hyperlink r:id="rId7" w:history="1">
        <w:r w:rsidR="00966383" w:rsidRPr="002B6080">
          <w:rPr>
            <w:rStyle w:val="Hyperlink"/>
            <w:rFonts w:asciiTheme="minorHAnsi" w:hAnsiTheme="minorHAnsi" w:cstheme="minorHAnsi"/>
            <w:sz w:val="22"/>
          </w:rPr>
          <w:t>Fundación Compromiso y Transparencia,</w:t>
        </w:r>
      </w:hyperlink>
      <w:r w:rsidR="002F59C5" w:rsidRPr="002B6080">
        <w:rPr>
          <w:rFonts w:asciiTheme="minorHAnsi" w:hAnsiTheme="minorHAnsi" w:cstheme="minorHAnsi"/>
          <w:sz w:val="22"/>
        </w:rPr>
        <w:t xml:space="preserve"> muestra un importante salto de calidad en la información que las </w:t>
      </w:r>
      <w:r w:rsidR="00966383" w:rsidRPr="002B6080">
        <w:rPr>
          <w:rFonts w:asciiTheme="minorHAnsi" w:hAnsiTheme="minorHAnsi" w:cstheme="minorHAnsi"/>
          <w:sz w:val="22"/>
        </w:rPr>
        <w:t>compañías</w:t>
      </w:r>
      <w:r w:rsidR="002F59C5" w:rsidRPr="002B6080">
        <w:rPr>
          <w:rFonts w:asciiTheme="minorHAnsi" w:hAnsiTheme="minorHAnsi" w:cstheme="minorHAnsi"/>
          <w:sz w:val="22"/>
        </w:rPr>
        <w:t xml:space="preserve"> del selectivo proporcionan sobre su responsabilidad fiscal. </w:t>
      </w:r>
    </w:p>
    <w:p w:rsidR="00010DBE" w:rsidRPr="002B6080" w:rsidRDefault="00010DBE" w:rsidP="00010DBE">
      <w:pPr>
        <w:jc w:val="both"/>
        <w:rPr>
          <w:rFonts w:asciiTheme="minorHAnsi" w:hAnsiTheme="minorHAnsi" w:cstheme="minorHAnsi"/>
          <w:sz w:val="22"/>
        </w:rPr>
      </w:pPr>
      <w:r w:rsidRPr="002B6080">
        <w:rPr>
          <w:rFonts w:asciiTheme="minorHAnsi" w:hAnsiTheme="minorHAnsi" w:cstheme="minorHAnsi"/>
          <w:sz w:val="22"/>
        </w:rPr>
        <w:t xml:space="preserve">El 29% de las empresas han sido calificadas este año de </w:t>
      </w:r>
      <w:r w:rsidRPr="002B6080">
        <w:rPr>
          <w:rFonts w:asciiTheme="minorHAnsi" w:hAnsiTheme="minorHAnsi" w:cstheme="minorHAnsi"/>
          <w:i/>
          <w:sz w:val="22"/>
        </w:rPr>
        <w:t>transparente</w:t>
      </w:r>
      <w:r w:rsidRPr="002B6080">
        <w:rPr>
          <w:rFonts w:asciiTheme="minorHAnsi" w:hAnsiTheme="minorHAnsi" w:cstheme="minorHAnsi"/>
          <w:sz w:val="22"/>
        </w:rPr>
        <w:t xml:space="preserve">s. Pero el dato más destacable, sin embargo, lo constituye el fuerte descenso de empresas </w:t>
      </w:r>
      <w:r w:rsidRPr="002B6080">
        <w:rPr>
          <w:rFonts w:asciiTheme="minorHAnsi" w:hAnsiTheme="minorHAnsi" w:cstheme="minorHAnsi"/>
          <w:i/>
          <w:sz w:val="22"/>
        </w:rPr>
        <w:t>opacas</w:t>
      </w:r>
      <w:r w:rsidRPr="002B6080">
        <w:rPr>
          <w:rFonts w:asciiTheme="minorHAnsi" w:hAnsiTheme="minorHAnsi" w:cstheme="minorHAnsi"/>
          <w:sz w:val="22"/>
        </w:rPr>
        <w:t xml:space="preserve">. Tan solo cuatro </w:t>
      </w:r>
      <w:r w:rsidR="00966383" w:rsidRPr="002B6080">
        <w:rPr>
          <w:rFonts w:asciiTheme="minorHAnsi" w:hAnsiTheme="minorHAnsi" w:cstheme="minorHAnsi"/>
          <w:sz w:val="22"/>
        </w:rPr>
        <w:t>compañías</w:t>
      </w:r>
      <w:r w:rsidRPr="002B6080">
        <w:rPr>
          <w:rFonts w:asciiTheme="minorHAnsi" w:hAnsiTheme="minorHAnsi" w:cstheme="minorHAnsi"/>
          <w:sz w:val="22"/>
        </w:rPr>
        <w:t xml:space="preserve"> (un 11% de la muestra) obtienen esta calificación, lo cual supone un gran avance desde la publicación del primer informe en el año 2014, en el que el 86% de las empresas del </w:t>
      </w:r>
      <w:r w:rsidR="002B6080">
        <w:rPr>
          <w:rFonts w:asciiTheme="minorHAnsi" w:hAnsiTheme="minorHAnsi" w:cstheme="minorHAnsi"/>
          <w:sz w:val="22"/>
        </w:rPr>
        <w:t>índice</w:t>
      </w:r>
      <w:r w:rsidRPr="002B6080">
        <w:rPr>
          <w:rFonts w:asciiTheme="minorHAnsi" w:hAnsiTheme="minorHAnsi" w:cstheme="minorHAnsi"/>
          <w:sz w:val="22"/>
        </w:rPr>
        <w:t xml:space="preserve"> obtuvieron el calificativo de </w:t>
      </w:r>
      <w:r w:rsidRPr="002B6080">
        <w:rPr>
          <w:rFonts w:asciiTheme="minorHAnsi" w:hAnsiTheme="minorHAnsi" w:cstheme="minorHAnsi"/>
          <w:i/>
          <w:sz w:val="22"/>
        </w:rPr>
        <w:t>opacas</w:t>
      </w:r>
      <w:r w:rsidRPr="002B6080">
        <w:rPr>
          <w:rFonts w:asciiTheme="minorHAnsi" w:hAnsiTheme="minorHAnsi" w:cstheme="minorHAnsi"/>
          <w:sz w:val="22"/>
        </w:rPr>
        <w:t>.</w:t>
      </w:r>
    </w:p>
    <w:p w:rsidR="00010DBE" w:rsidRPr="002B6080" w:rsidRDefault="00010DBE" w:rsidP="002B6080">
      <w:pPr>
        <w:jc w:val="center"/>
        <w:rPr>
          <w:rFonts w:asciiTheme="minorHAnsi" w:hAnsiTheme="minorHAnsi" w:cstheme="minorHAnsi"/>
          <w:sz w:val="22"/>
        </w:rPr>
      </w:pPr>
      <w:r w:rsidRPr="002B6080">
        <w:rPr>
          <w:rFonts w:asciiTheme="minorHAnsi" w:hAnsiTheme="minorHAnsi" w:cstheme="minorHAnsi"/>
          <w:noProof/>
          <w:sz w:val="22"/>
          <w:lang w:eastAsia="es-ES"/>
        </w:rPr>
        <w:drawing>
          <wp:inline distT="0" distB="0" distL="0" distR="0">
            <wp:extent cx="5663571" cy="2163445"/>
            <wp:effectExtent l="0" t="0" r="0" b="8255"/>
            <wp:docPr id="2" name="Imagen 2" descr="C:\Users\Usuario\Dropbox\Capturas de pantalla\Captura de pantalla 2020-06-09 17.3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Capturas de pantalla\Captura de pantalla 2020-06-09 17.32.35.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09" t="35877" r="9820" b="14430"/>
                    <a:stretch/>
                  </pic:blipFill>
                  <pic:spPr bwMode="auto">
                    <a:xfrm>
                      <a:off x="0" y="0"/>
                      <a:ext cx="5705738" cy="2179553"/>
                    </a:xfrm>
                    <a:prstGeom prst="rect">
                      <a:avLst/>
                    </a:prstGeom>
                    <a:noFill/>
                    <a:ln>
                      <a:noFill/>
                    </a:ln>
                    <a:extLst>
                      <a:ext uri="{53640926-AAD7-44D8-BBD7-CCE9431645EC}">
                        <a14:shadowObscured xmlns:a14="http://schemas.microsoft.com/office/drawing/2010/main"/>
                      </a:ext>
                    </a:extLst>
                  </pic:spPr>
                </pic:pic>
              </a:graphicData>
            </a:graphic>
          </wp:inline>
        </w:drawing>
      </w:r>
    </w:p>
    <w:p w:rsidR="00966383" w:rsidRPr="002B6080" w:rsidRDefault="00010DBE" w:rsidP="00010DBE">
      <w:pPr>
        <w:jc w:val="both"/>
        <w:rPr>
          <w:rFonts w:asciiTheme="minorHAnsi" w:hAnsiTheme="minorHAnsi" w:cstheme="minorHAnsi"/>
          <w:sz w:val="22"/>
        </w:rPr>
      </w:pPr>
      <w:r w:rsidRPr="002B6080">
        <w:rPr>
          <w:rFonts w:asciiTheme="minorHAnsi" w:hAnsiTheme="minorHAnsi" w:cstheme="minorHAnsi"/>
          <w:sz w:val="22"/>
        </w:rPr>
        <w:t>En relación con los sectores más transparen</w:t>
      </w:r>
      <w:r w:rsidR="00044C38" w:rsidRPr="002B6080">
        <w:rPr>
          <w:rFonts w:asciiTheme="minorHAnsi" w:hAnsiTheme="minorHAnsi" w:cstheme="minorHAnsi"/>
          <w:sz w:val="22"/>
        </w:rPr>
        <w:t xml:space="preserve">tes, siguen destacando con </w:t>
      </w:r>
      <w:r w:rsidR="00966383" w:rsidRPr="002B6080">
        <w:rPr>
          <w:rFonts w:asciiTheme="minorHAnsi" w:hAnsiTheme="minorHAnsi" w:cstheme="minorHAnsi"/>
          <w:sz w:val="22"/>
        </w:rPr>
        <w:t>gran</w:t>
      </w:r>
      <w:r w:rsidRPr="002B6080">
        <w:rPr>
          <w:rFonts w:asciiTheme="minorHAnsi" w:hAnsiTheme="minorHAnsi" w:cstheme="minorHAnsi"/>
          <w:sz w:val="22"/>
        </w:rPr>
        <w:t xml:space="preserve"> diferencia las empresas pertenecientes al sector energético seguidas de las del sector financiero. </w:t>
      </w:r>
    </w:p>
    <w:p w:rsidR="00010DBE" w:rsidRPr="002B6080" w:rsidRDefault="00010DBE" w:rsidP="00010DBE">
      <w:pPr>
        <w:jc w:val="both"/>
        <w:rPr>
          <w:rFonts w:asciiTheme="minorHAnsi" w:hAnsiTheme="minorHAnsi" w:cstheme="minorHAnsi"/>
          <w:sz w:val="22"/>
        </w:rPr>
      </w:pPr>
      <w:r w:rsidRPr="002B6080">
        <w:rPr>
          <w:rFonts w:asciiTheme="minorHAnsi" w:hAnsiTheme="minorHAnsi" w:cstheme="minorHAnsi"/>
          <w:sz w:val="22"/>
        </w:rPr>
        <w:t>Cuatro energétic</w:t>
      </w:r>
      <w:r w:rsidR="00966383" w:rsidRPr="002B6080">
        <w:rPr>
          <w:rFonts w:asciiTheme="minorHAnsi" w:hAnsiTheme="minorHAnsi" w:cstheme="minorHAnsi"/>
          <w:sz w:val="22"/>
        </w:rPr>
        <w:t xml:space="preserve">as </w:t>
      </w:r>
      <w:r w:rsidRPr="002B6080">
        <w:rPr>
          <w:rFonts w:asciiTheme="minorHAnsi" w:hAnsiTheme="minorHAnsi" w:cstheme="minorHAnsi"/>
          <w:sz w:val="22"/>
        </w:rPr>
        <w:t xml:space="preserve">obtienen la calificación de </w:t>
      </w:r>
      <w:r w:rsidRPr="002B6080">
        <w:rPr>
          <w:rFonts w:asciiTheme="minorHAnsi" w:hAnsiTheme="minorHAnsi" w:cstheme="minorHAnsi"/>
          <w:i/>
          <w:sz w:val="22"/>
        </w:rPr>
        <w:t>transparentes</w:t>
      </w:r>
      <w:r w:rsidRPr="002B6080">
        <w:rPr>
          <w:rFonts w:asciiTheme="minorHAnsi" w:hAnsiTheme="minorHAnsi" w:cstheme="minorHAnsi"/>
          <w:sz w:val="22"/>
        </w:rPr>
        <w:t xml:space="preserve">, con </w:t>
      </w:r>
      <w:r w:rsidRPr="002B6080">
        <w:rPr>
          <w:rFonts w:asciiTheme="minorHAnsi" w:hAnsiTheme="minorHAnsi" w:cstheme="minorHAnsi"/>
          <w:b/>
          <w:sz w:val="22"/>
        </w:rPr>
        <w:t xml:space="preserve">Endesa </w:t>
      </w:r>
      <w:r w:rsidRPr="002B6080">
        <w:rPr>
          <w:rFonts w:asciiTheme="minorHAnsi" w:hAnsiTheme="minorHAnsi" w:cstheme="minorHAnsi"/>
          <w:sz w:val="22"/>
        </w:rPr>
        <w:t>y</w:t>
      </w:r>
      <w:r w:rsidRPr="002B6080">
        <w:rPr>
          <w:rFonts w:asciiTheme="minorHAnsi" w:hAnsiTheme="minorHAnsi" w:cstheme="minorHAnsi"/>
          <w:b/>
          <w:sz w:val="22"/>
        </w:rPr>
        <w:t xml:space="preserve"> Red Eléctrica </w:t>
      </w:r>
      <w:r w:rsidRPr="002B6080">
        <w:rPr>
          <w:rFonts w:asciiTheme="minorHAnsi" w:hAnsiTheme="minorHAnsi" w:cstheme="minorHAnsi"/>
          <w:sz w:val="22"/>
        </w:rPr>
        <w:t>ocupando los primeros puestos del ranking</w:t>
      </w:r>
      <w:r w:rsidR="00966383" w:rsidRPr="002B6080">
        <w:rPr>
          <w:rFonts w:asciiTheme="minorHAnsi" w:hAnsiTheme="minorHAnsi" w:cstheme="minorHAnsi"/>
          <w:sz w:val="22"/>
        </w:rPr>
        <w:t>; t</w:t>
      </w:r>
      <w:r w:rsidRPr="002B6080">
        <w:rPr>
          <w:rFonts w:asciiTheme="minorHAnsi" w:hAnsiTheme="minorHAnsi" w:cstheme="minorHAnsi"/>
          <w:sz w:val="22"/>
        </w:rPr>
        <w:t xml:space="preserve">res entidades del sector financiero </w:t>
      </w:r>
      <w:r w:rsidR="00966383" w:rsidRPr="002B6080">
        <w:rPr>
          <w:rFonts w:asciiTheme="minorHAnsi" w:hAnsiTheme="minorHAnsi" w:cstheme="minorHAnsi"/>
          <w:sz w:val="22"/>
        </w:rPr>
        <w:t>se incluyen entre las más transparentes</w:t>
      </w:r>
      <w:r w:rsidRPr="002B6080">
        <w:rPr>
          <w:rFonts w:asciiTheme="minorHAnsi" w:hAnsiTheme="minorHAnsi" w:cstheme="minorHAnsi"/>
          <w:sz w:val="22"/>
        </w:rPr>
        <w:t xml:space="preserve"> (</w:t>
      </w:r>
      <w:proofErr w:type="spellStart"/>
      <w:r w:rsidRPr="002B6080">
        <w:rPr>
          <w:rFonts w:asciiTheme="minorHAnsi" w:hAnsiTheme="minorHAnsi" w:cstheme="minorHAnsi"/>
          <w:b/>
          <w:sz w:val="22"/>
        </w:rPr>
        <w:t>Bankia</w:t>
      </w:r>
      <w:proofErr w:type="spellEnd"/>
      <w:r w:rsidRPr="002B6080">
        <w:rPr>
          <w:rFonts w:asciiTheme="minorHAnsi" w:hAnsiTheme="minorHAnsi" w:cstheme="minorHAnsi"/>
          <w:b/>
          <w:sz w:val="22"/>
        </w:rPr>
        <w:t xml:space="preserve">, BBVA </w:t>
      </w:r>
      <w:r w:rsidRPr="002B6080">
        <w:rPr>
          <w:rFonts w:asciiTheme="minorHAnsi" w:hAnsiTheme="minorHAnsi" w:cstheme="minorHAnsi"/>
          <w:sz w:val="22"/>
        </w:rPr>
        <w:t>y</w:t>
      </w:r>
      <w:r w:rsidRPr="002B6080">
        <w:rPr>
          <w:rFonts w:asciiTheme="minorHAnsi" w:hAnsiTheme="minorHAnsi" w:cstheme="minorHAnsi"/>
          <w:b/>
          <w:sz w:val="22"/>
        </w:rPr>
        <w:t xml:space="preserve"> Banco Sabadell</w:t>
      </w:r>
      <w:r w:rsidRPr="002B6080">
        <w:rPr>
          <w:rFonts w:asciiTheme="minorHAnsi" w:hAnsiTheme="minorHAnsi" w:cstheme="minorHAnsi"/>
          <w:sz w:val="22"/>
        </w:rPr>
        <w:t>) y dos pertenecientes al sector de las telecomunicaciones (</w:t>
      </w:r>
      <w:proofErr w:type="spellStart"/>
      <w:r w:rsidRPr="002B6080">
        <w:rPr>
          <w:rFonts w:asciiTheme="minorHAnsi" w:hAnsiTheme="minorHAnsi" w:cstheme="minorHAnsi"/>
          <w:b/>
          <w:sz w:val="22"/>
        </w:rPr>
        <w:t>Cellnex</w:t>
      </w:r>
      <w:proofErr w:type="spellEnd"/>
      <w:r w:rsidRPr="002B6080">
        <w:rPr>
          <w:rFonts w:asciiTheme="minorHAnsi" w:hAnsiTheme="minorHAnsi" w:cstheme="minorHAnsi"/>
          <w:b/>
          <w:sz w:val="22"/>
        </w:rPr>
        <w:t xml:space="preserve"> Telecom </w:t>
      </w:r>
      <w:r w:rsidRPr="002B6080">
        <w:rPr>
          <w:rFonts w:asciiTheme="minorHAnsi" w:hAnsiTheme="minorHAnsi" w:cstheme="minorHAnsi"/>
          <w:sz w:val="22"/>
        </w:rPr>
        <w:t>y</w:t>
      </w:r>
      <w:r w:rsidRPr="002B6080">
        <w:rPr>
          <w:rFonts w:asciiTheme="minorHAnsi" w:hAnsiTheme="minorHAnsi" w:cstheme="minorHAnsi"/>
          <w:b/>
          <w:sz w:val="22"/>
        </w:rPr>
        <w:t xml:space="preserve"> Telefónica</w:t>
      </w:r>
      <w:r w:rsidRPr="002B6080">
        <w:rPr>
          <w:rFonts w:asciiTheme="minorHAnsi" w:hAnsiTheme="minorHAnsi" w:cstheme="minorHAnsi"/>
          <w:sz w:val="22"/>
        </w:rPr>
        <w:t xml:space="preserve">). Como novedad, este año hay que destacar la calificación de </w:t>
      </w:r>
      <w:r w:rsidRPr="002B6080">
        <w:rPr>
          <w:rFonts w:asciiTheme="minorHAnsi" w:hAnsiTheme="minorHAnsi" w:cstheme="minorHAnsi"/>
          <w:i/>
          <w:sz w:val="22"/>
        </w:rPr>
        <w:t>transparente</w:t>
      </w:r>
      <w:r w:rsidRPr="002B6080">
        <w:rPr>
          <w:rFonts w:asciiTheme="minorHAnsi" w:hAnsiTheme="minorHAnsi" w:cstheme="minorHAnsi"/>
          <w:sz w:val="22"/>
        </w:rPr>
        <w:t xml:space="preserve"> de la empresa </w:t>
      </w:r>
      <w:proofErr w:type="spellStart"/>
      <w:r w:rsidRPr="002B6080">
        <w:rPr>
          <w:rFonts w:asciiTheme="minorHAnsi" w:hAnsiTheme="minorHAnsi" w:cstheme="minorHAnsi"/>
          <w:b/>
          <w:sz w:val="22"/>
        </w:rPr>
        <w:t>Mediaset</w:t>
      </w:r>
      <w:proofErr w:type="spellEnd"/>
      <w:r w:rsidR="00044C38" w:rsidRPr="002B6080">
        <w:rPr>
          <w:rFonts w:asciiTheme="minorHAnsi" w:hAnsiTheme="minorHAnsi" w:cstheme="minorHAnsi"/>
          <w:sz w:val="22"/>
        </w:rPr>
        <w:t>.</w:t>
      </w:r>
    </w:p>
    <w:p w:rsidR="000A7229" w:rsidRPr="002B6080" w:rsidRDefault="000A7229" w:rsidP="00010DBE">
      <w:pPr>
        <w:jc w:val="both"/>
        <w:rPr>
          <w:rFonts w:asciiTheme="minorHAnsi" w:hAnsiTheme="minorHAnsi" w:cstheme="minorHAnsi"/>
          <w:b/>
          <w:sz w:val="22"/>
        </w:rPr>
      </w:pPr>
      <w:r w:rsidRPr="002B6080">
        <w:rPr>
          <w:rFonts w:asciiTheme="minorHAnsi" w:hAnsiTheme="minorHAnsi" w:cstheme="minorHAnsi"/>
          <w:b/>
          <w:sz w:val="22"/>
        </w:rPr>
        <w:t>Cumplimiento de indicadores</w:t>
      </w:r>
    </w:p>
    <w:p w:rsidR="000A7229" w:rsidRPr="002B6080" w:rsidRDefault="00044C38" w:rsidP="002406E1">
      <w:pPr>
        <w:jc w:val="both"/>
        <w:rPr>
          <w:rFonts w:asciiTheme="minorHAnsi" w:hAnsiTheme="minorHAnsi" w:cstheme="minorHAnsi"/>
          <w:sz w:val="22"/>
        </w:rPr>
      </w:pPr>
      <w:r w:rsidRPr="002B6080">
        <w:rPr>
          <w:rFonts w:asciiTheme="minorHAnsi" w:hAnsiTheme="minorHAnsi" w:cstheme="minorHAnsi"/>
          <w:sz w:val="22"/>
        </w:rPr>
        <w:t>En relación con el cumplimiento de los indicadores, se ha producido una mejoría generalizada en la mayoría de ellos.</w:t>
      </w:r>
    </w:p>
    <w:p w:rsidR="002406E1" w:rsidRPr="002B6080" w:rsidRDefault="000A7229" w:rsidP="002406E1">
      <w:pPr>
        <w:jc w:val="both"/>
        <w:rPr>
          <w:rFonts w:asciiTheme="minorHAnsi" w:hAnsiTheme="minorHAnsi" w:cstheme="minorHAnsi"/>
          <w:sz w:val="22"/>
        </w:rPr>
      </w:pPr>
      <w:r w:rsidRPr="002B6080">
        <w:rPr>
          <w:rFonts w:asciiTheme="minorHAnsi" w:hAnsiTheme="minorHAnsi" w:cstheme="minorHAnsi"/>
          <w:sz w:val="22"/>
        </w:rPr>
        <w:lastRenderedPageBreak/>
        <w:t>L</w:t>
      </w:r>
      <w:r w:rsidR="002406E1" w:rsidRPr="002B6080">
        <w:rPr>
          <w:rFonts w:asciiTheme="minorHAnsi" w:hAnsiTheme="minorHAnsi" w:cstheme="minorHAnsi"/>
          <w:sz w:val="22"/>
        </w:rPr>
        <w:t xml:space="preserve">os indicadores que presentan un menor grado de cumplimiento son los relativos a la información sobre la </w:t>
      </w:r>
      <w:r w:rsidR="002406E1" w:rsidRPr="002B6080">
        <w:rPr>
          <w:rFonts w:asciiTheme="minorHAnsi" w:hAnsiTheme="minorHAnsi" w:cstheme="minorHAnsi"/>
          <w:b/>
          <w:sz w:val="22"/>
        </w:rPr>
        <w:t>firma auditora externa.</w:t>
      </w:r>
      <w:r w:rsidR="002406E1" w:rsidRPr="002B6080">
        <w:rPr>
          <w:rFonts w:asciiTheme="minorHAnsi" w:hAnsiTheme="minorHAnsi" w:cstheme="minorHAnsi"/>
          <w:sz w:val="22"/>
        </w:rPr>
        <w:t xml:space="preserve"> Sigue habiendo un importante número de empresas (63%) que mantienen la mala práctica de contratar servicios de asesoría fiscal con la firma auditora o, simplemente, que no informan con transparencia de los servicios adicionales que les presta, con el consiguiente riesgo, como muestra la evidencia empírica, de que la firma auditora colabore con la empresa diseñando y promoviendo esquemas de planificación tributaria que se consideren potencialmente agresivos.</w:t>
      </w:r>
    </w:p>
    <w:p w:rsidR="002406E1" w:rsidRPr="002B6080" w:rsidRDefault="002406E1" w:rsidP="002406E1">
      <w:pPr>
        <w:jc w:val="both"/>
        <w:rPr>
          <w:rFonts w:asciiTheme="minorHAnsi" w:hAnsiTheme="minorHAnsi" w:cstheme="minorHAnsi"/>
          <w:sz w:val="22"/>
        </w:rPr>
      </w:pPr>
      <w:r w:rsidRPr="002B6080">
        <w:rPr>
          <w:rFonts w:asciiTheme="minorHAnsi" w:hAnsiTheme="minorHAnsi" w:cstheme="minorHAnsi"/>
          <w:sz w:val="22"/>
        </w:rPr>
        <w:t xml:space="preserve">Otra de las áreas de mejora identificadas es la información sobre la actividad de </w:t>
      </w:r>
      <w:r w:rsidRPr="002B6080">
        <w:rPr>
          <w:rFonts w:asciiTheme="minorHAnsi" w:hAnsiTheme="minorHAnsi" w:cstheme="minorHAnsi"/>
          <w:b/>
          <w:sz w:val="22"/>
        </w:rPr>
        <w:t xml:space="preserve">supervisión de las comisiones de auditoría. </w:t>
      </w:r>
      <w:r w:rsidRPr="002B6080">
        <w:rPr>
          <w:rFonts w:asciiTheme="minorHAnsi" w:hAnsiTheme="minorHAnsi" w:cstheme="minorHAnsi"/>
          <w:sz w:val="22"/>
        </w:rPr>
        <w:t>Aunque tras la publicación de la Guía técnica de la CNMV los informes de actividades de los comités de auditoría han experimentado una mejoría, la calidad del reporte en temas fiscales sigue siendo</w:t>
      </w:r>
      <w:r w:rsidR="00135996" w:rsidRPr="002B6080">
        <w:rPr>
          <w:rFonts w:asciiTheme="minorHAnsi" w:hAnsiTheme="minorHAnsi" w:cstheme="minorHAnsi"/>
          <w:sz w:val="22"/>
        </w:rPr>
        <w:t>, en líneas generales, muy pobre.</w:t>
      </w:r>
      <w:r w:rsidR="000A7229" w:rsidRPr="002B6080">
        <w:rPr>
          <w:rFonts w:asciiTheme="minorHAnsi" w:hAnsiTheme="minorHAnsi" w:cstheme="minorHAnsi"/>
          <w:sz w:val="22"/>
        </w:rPr>
        <w:t xml:space="preserve"> </w:t>
      </w:r>
      <w:r w:rsidR="00135996" w:rsidRPr="002B6080">
        <w:rPr>
          <w:rFonts w:asciiTheme="minorHAnsi" w:hAnsiTheme="minorHAnsi" w:cstheme="minorHAnsi"/>
          <w:sz w:val="22"/>
        </w:rPr>
        <w:t>Tan s</w:t>
      </w:r>
      <w:r w:rsidR="000A7229" w:rsidRPr="002B6080">
        <w:rPr>
          <w:rFonts w:asciiTheme="minorHAnsi" w:hAnsiTheme="minorHAnsi" w:cstheme="minorHAnsi"/>
          <w:sz w:val="22"/>
        </w:rPr>
        <w:t>o</w:t>
      </w:r>
      <w:r w:rsidR="00135996" w:rsidRPr="002B6080">
        <w:rPr>
          <w:rFonts w:asciiTheme="minorHAnsi" w:hAnsiTheme="minorHAnsi" w:cstheme="minorHAnsi"/>
          <w:sz w:val="22"/>
        </w:rPr>
        <w:t>lo 10 empresas del IBEX</w:t>
      </w:r>
      <w:r w:rsidR="000A7229" w:rsidRPr="002B6080">
        <w:rPr>
          <w:rFonts w:asciiTheme="minorHAnsi" w:hAnsiTheme="minorHAnsi" w:cstheme="minorHAnsi"/>
          <w:sz w:val="22"/>
        </w:rPr>
        <w:t xml:space="preserve"> </w:t>
      </w:r>
      <w:r w:rsidR="00135996" w:rsidRPr="002B6080">
        <w:rPr>
          <w:rFonts w:asciiTheme="minorHAnsi" w:hAnsiTheme="minorHAnsi" w:cstheme="minorHAnsi"/>
          <w:sz w:val="22"/>
        </w:rPr>
        <w:t>35 mencionan explícitamente en el informe de actividades de la comisión de auditoría los asuntos relacionados con temas fiscales, especificando la asistencia a las reuniones de los directivos responsables.</w:t>
      </w:r>
    </w:p>
    <w:p w:rsidR="00044C38" w:rsidRPr="002B6080" w:rsidRDefault="00044C38" w:rsidP="00010DBE">
      <w:pPr>
        <w:jc w:val="both"/>
        <w:rPr>
          <w:rFonts w:asciiTheme="minorHAnsi" w:hAnsiTheme="minorHAnsi" w:cstheme="minorHAnsi"/>
          <w:sz w:val="22"/>
        </w:rPr>
      </w:pPr>
      <w:r w:rsidRPr="002B6080">
        <w:rPr>
          <w:rFonts w:asciiTheme="minorHAnsi" w:hAnsiTheme="minorHAnsi" w:cstheme="minorHAnsi"/>
          <w:sz w:val="22"/>
        </w:rPr>
        <w:t xml:space="preserve">El informe también destaca un conjunto de </w:t>
      </w:r>
      <w:r w:rsidRPr="002B6080">
        <w:rPr>
          <w:rFonts w:asciiTheme="minorHAnsi" w:hAnsiTheme="minorHAnsi" w:cstheme="minorHAnsi"/>
          <w:b/>
          <w:sz w:val="22"/>
        </w:rPr>
        <w:t>buenas prácticas</w:t>
      </w:r>
      <w:r w:rsidRPr="002B6080">
        <w:rPr>
          <w:rFonts w:asciiTheme="minorHAnsi" w:hAnsiTheme="minorHAnsi" w:cstheme="minorHAnsi"/>
          <w:sz w:val="22"/>
        </w:rPr>
        <w:t xml:space="preserve"> que las empresas han venido impulsando por mejorar la rendición de cuentas en temas relacionados con la fiscalidad responsable. Entre las buenas prácticas se destacan las siguientes:</w:t>
      </w:r>
    </w:p>
    <w:p w:rsidR="00044C38" w:rsidRPr="002B6080" w:rsidRDefault="00044C38" w:rsidP="00044C38">
      <w:pPr>
        <w:pStyle w:val="ListParagraph"/>
        <w:numPr>
          <w:ilvl w:val="0"/>
          <w:numId w:val="2"/>
        </w:numPr>
        <w:jc w:val="both"/>
        <w:rPr>
          <w:rFonts w:asciiTheme="minorHAnsi" w:hAnsiTheme="minorHAnsi" w:cstheme="minorHAnsi"/>
          <w:sz w:val="22"/>
        </w:rPr>
      </w:pPr>
      <w:r w:rsidRPr="002B6080">
        <w:rPr>
          <w:rFonts w:asciiTheme="minorHAnsi" w:hAnsiTheme="minorHAnsi" w:cstheme="minorHAnsi"/>
          <w:sz w:val="22"/>
        </w:rPr>
        <w:t xml:space="preserve">Endesa e Iberdrola informan sobre certificación en la norma UNE 19602 Sistema de gestión del </w:t>
      </w:r>
      <w:r w:rsidRPr="002B6080">
        <w:rPr>
          <w:rFonts w:asciiTheme="minorHAnsi" w:hAnsiTheme="minorHAnsi" w:cstheme="minorHAnsi"/>
          <w:i/>
          <w:sz w:val="22"/>
        </w:rPr>
        <w:t>compliance</w:t>
      </w:r>
      <w:r w:rsidRPr="002B6080">
        <w:rPr>
          <w:rFonts w:asciiTheme="minorHAnsi" w:hAnsiTheme="minorHAnsi" w:cstheme="minorHAnsi"/>
          <w:sz w:val="22"/>
        </w:rPr>
        <w:t xml:space="preserve"> tributario, que facilita la identificación, prevención y detección de riesgos fiscales; crea mecanismos de control y mitigación, y facilita la transparencia y el cumplimiento ético.</w:t>
      </w:r>
    </w:p>
    <w:p w:rsidR="00FC5FB6" w:rsidRPr="002B6080" w:rsidRDefault="00044C38" w:rsidP="00044C38">
      <w:pPr>
        <w:pStyle w:val="ListParagraph"/>
        <w:numPr>
          <w:ilvl w:val="0"/>
          <w:numId w:val="2"/>
        </w:numPr>
        <w:jc w:val="both"/>
        <w:rPr>
          <w:rFonts w:asciiTheme="minorHAnsi" w:hAnsiTheme="minorHAnsi" w:cstheme="minorHAnsi"/>
          <w:sz w:val="22"/>
        </w:rPr>
      </w:pPr>
      <w:r w:rsidRPr="002B6080">
        <w:rPr>
          <w:rFonts w:asciiTheme="minorHAnsi" w:hAnsiTheme="minorHAnsi" w:cstheme="minorHAnsi"/>
          <w:sz w:val="22"/>
        </w:rPr>
        <w:t xml:space="preserve">Repsol ha elaborado un documento de </w:t>
      </w:r>
      <w:r w:rsidRPr="002B6080">
        <w:rPr>
          <w:rFonts w:asciiTheme="minorHAnsi" w:hAnsiTheme="minorHAnsi" w:cstheme="minorHAnsi"/>
          <w:i/>
          <w:sz w:val="22"/>
        </w:rPr>
        <w:t>Autoevaluación de buenas prácticas tributarias, 2019</w:t>
      </w:r>
      <w:r w:rsidRPr="002B6080">
        <w:rPr>
          <w:rFonts w:asciiTheme="minorHAnsi" w:hAnsiTheme="minorHAnsi" w:cstheme="minorHAnsi"/>
          <w:sz w:val="22"/>
        </w:rPr>
        <w:t xml:space="preserve"> donde reporta los indicadores establecidos en el estándar </w:t>
      </w:r>
      <w:r w:rsidRPr="002B6080">
        <w:rPr>
          <w:rFonts w:asciiTheme="minorHAnsi" w:hAnsiTheme="minorHAnsi" w:cstheme="minorHAnsi"/>
          <w:i/>
          <w:sz w:val="22"/>
        </w:rPr>
        <w:t xml:space="preserve">GRI 207: </w:t>
      </w:r>
      <w:proofErr w:type="spellStart"/>
      <w:r w:rsidRPr="002B6080">
        <w:rPr>
          <w:rFonts w:asciiTheme="minorHAnsi" w:hAnsiTheme="minorHAnsi" w:cstheme="minorHAnsi"/>
          <w:i/>
          <w:sz w:val="22"/>
        </w:rPr>
        <w:t>Tax</w:t>
      </w:r>
      <w:proofErr w:type="spellEnd"/>
      <w:r w:rsidRPr="002B6080">
        <w:rPr>
          <w:rFonts w:asciiTheme="minorHAnsi" w:hAnsiTheme="minorHAnsi" w:cstheme="minorHAnsi"/>
          <w:i/>
          <w:sz w:val="22"/>
        </w:rPr>
        <w:t xml:space="preserve"> 2019.</w:t>
      </w:r>
      <w:r w:rsidRPr="002B6080">
        <w:rPr>
          <w:rFonts w:asciiTheme="minorHAnsi" w:hAnsiTheme="minorHAnsi" w:cstheme="minorHAnsi"/>
          <w:sz w:val="22"/>
        </w:rPr>
        <w:t xml:space="preserve"> </w:t>
      </w:r>
    </w:p>
    <w:p w:rsidR="000A7229" w:rsidRPr="002B6080" w:rsidRDefault="00A74AAB" w:rsidP="00044C38">
      <w:pPr>
        <w:pStyle w:val="ListParagraph"/>
        <w:numPr>
          <w:ilvl w:val="0"/>
          <w:numId w:val="2"/>
        </w:numPr>
        <w:jc w:val="both"/>
        <w:rPr>
          <w:rFonts w:asciiTheme="minorHAnsi" w:hAnsiTheme="minorHAnsi" w:cstheme="minorHAnsi"/>
          <w:sz w:val="22"/>
        </w:rPr>
      </w:pPr>
      <w:r w:rsidRPr="002B6080">
        <w:rPr>
          <w:rFonts w:asciiTheme="minorHAnsi" w:hAnsiTheme="minorHAnsi" w:cstheme="minorHAnsi"/>
          <w:sz w:val="22"/>
        </w:rPr>
        <w:t>BBVA y Endesa informan</w:t>
      </w:r>
      <w:r w:rsidR="00FC5FB6" w:rsidRPr="002B6080">
        <w:rPr>
          <w:rFonts w:asciiTheme="minorHAnsi" w:hAnsiTheme="minorHAnsi" w:cstheme="minorHAnsi"/>
          <w:sz w:val="22"/>
        </w:rPr>
        <w:t xml:space="preserve"> sobre los impuestos diferidos no s</w:t>
      </w:r>
      <w:r w:rsidR="000A7229" w:rsidRPr="002B6080">
        <w:rPr>
          <w:rFonts w:asciiTheme="minorHAnsi" w:hAnsiTheme="minorHAnsi" w:cstheme="minorHAnsi"/>
          <w:sz w:val="22"/>
        </w:rPr>
        <w:t>o</w:t>
      </w:r>
      <w:r w:rsidR="00FC5FB6" w:rsidRPr="002B6080">
        <w:rPr>
          <w:rFonts w:asciiTheme="minorHAnsi" w:hAnsiTheme="minorHAnsi" w:cstheme="minorHAnsi"/>
          <w:sz w:val="22"/>
        </w:rPr>
        <w:t>lo</w:t>
      </w:r>
      <w:r w:rsidR="00044C38" w:rsidRPr="002B6080">
        <w:rPr>
          <w:rFonts w:asciiTheme="minorHAnsi" w:hAnsiTheme="minorHAnsi" w:cstheme="minorHAnsi"/>
          <w:sz w:val="22"/>
        </w:rPr>
        <w:t xml:space="preserve"> en las cuentas anuales auditadas sino también en otros documentos de </w:t>
      </w:r>
      <w:proofErr w:type="spellStart"/>
      <w:r w:rsidR="00044C38" w:rsidRPr="002B6080">
        <w:rPr>
          <w:rFonts w:asciiTheme="minorHAnsi" w:hAnsiTheme="minorHAnsi" w:cstheme="minorHAnsi"/>
          <w:i/>
          <w:sz w:val="22"/>
        </w:rPr>
        <w:t>reporting</w:t>
      </w:r>
      <w:proofErr w:type="spellEnd"/>
      <w:r w:rsidR="00044C38" w:rsidRPr="002B6080">
        <w:rPr>
          <w:rFonts w:asciiTheme="minorHAnsi" w:hAnsiTheme="minorHAnsi" w:cstheme="minorHAnsi"/>
          <w:sz w:val="22"/>
        </w:rPr>
        <w:t xml:space="preserve"> más comprensibles para grupos de interés distintos de la administración tributaria. </w:t>
      </w:r>
    </w:p>
    <w:p w:rsidR="00044C38" w:rsidRPr="002B6080" w:rsidRDefault="00044C38" w:rsidP="00044C38">
      <w:pPr>
        <w:pStyle w:val="ListParagraph"/>
        <w:numPr>
          <w:ilvl w:val="0"/>
          <w:numId w:val="2"/>
        </w:numPr>
        <w:jc w:val="both"/>
        <w:rPr>
          <w:rFonts w:asciiTheme="minorHAnsi" w:hAnsiTheme="minorHAnsi" w:cstheme="minorHAnsi"/>
          <w:sz w:val="22"/>
        </w:rPr>
      </w:pPr>
      <w:r w:rsidRPr="002B6080">
        <w:rPr>
          <w:rFonts w:asciiTheme="minorHAnsi" w:hAnsiTheme="minorHAnsi" w:cstheme="minorHAnsi"/>
          <w:sz w:val="22"/>
        </w:rPr>
        <w:t>BBVA</w:t>
      </w:r>
      <w:r w:rsidR="000A7229" w:rsidRPr="002B6080">
        <w:rPr>
          <w:rFonts w:asciiTheme="minorHAnsi" w:hAnsiTheme="minorHAnsi" w:cstheme="minorHAnsi"/>
          <w:sz w:val="22"/>
        </w:rPr>
        <w:t xml:space="preserve">, </w:t>
      </w:r>
      <w:r w:rsidR="00FC5FB6" w:rsidRPr="002B6080">
        <w:rPr>
          <w:rFonts w:asciiTheme="minorHAnsi" w:hAnsiTheme="minorHAnsi" w:cstheme="minorHAnsi"/>
          <w:sz w:val="22"/>
        </w:rPr>
        <w:t>Endesa y Repsol</w:t>
      </w:r>
      <w:r w:rsidRPr="002B6080">
        <w:rPr>
          <w:rFonts w:asciiTheme="minorHAnsi" w:hAnsiTheme="minorHAnsi" w:cstheme="minorHAnsi"/>
          <w:sz w:val="22"/>
        </w:rPr>
        <w:t xml:space="preserve"> informan de manera más clara sobre sus relaciones con la administración</w:t>
      </w:r>
      <w:r w:rsidR="00FC5FB6" w:rsidRPr="002B6080">
        <w:rPr>
          <w:rFonts w:asciiTheme="minorHAnsi" w:hAnsiTheme="minorHAnsi" w:cstheme="minorHAnsi"/>
          <w:sz w:val="22"/>
        </w:rPr>
        <w:t xml:space="preserve"> tributaria</w:t>
      </w:r>
      <w:r w:rsidRPr="002B6080">
        <w:rPr>
          <w:rFonts w:asciiTheme="minorHAnsi" w:hAnsiTheme="minorHAnsi" w:cstheme="minorHAnsi"/>
          <w:sz w:val="22"/>
        </w:rPr>
        <w:t xml:space="preserve">. </w:t>
      </w:r>
    </w:p>
    <w:p w:rsidR="00044C38" w:rsidRPr="002B6080" w:rsidRDefault="00FC5FB6" w:rsidP="00044C38">
      <w:pPr>
        <w:pStyle w:val="ListParagraph"/>
        <w:numPr>
          <w:ilvl w:val="0"/>
          <w:numId w:val="2"/>
        </w:numPr>
        <w:jc w:val="both"/>
        <w:rPr>
          <w:rFonts w:asciiTheme="minorHAnsi" w:hAnsiTheme="minorHAnsi" w:cstheme="minorHAnsi"/>
          <w:sz w:val="22"/>
        </w:rPr>
      </w:pPr>
      <w:r w:rsidRPr="002B6080">
        <w:rPr>
          <w:rFonts w:asciiTheme="minorHAnsi" w:hAnsiTheme="minorHAnsi" w:cstheme="minorHAnsi"/>
          <w:sz w:val="22"/>
        </w:rPr>
        <w:t xml:space="preserve">BBVA, </w:t>
      </w:r>
      <w:proofErr w:type="spellStart"/>
      <w:r w:rsidRPr="002B6080">
        <w:rPr>
          <w:rFonts w:asciiTheme="minorHAnsi" w:hAnsiTheme="minorHAnsi" w:cstheme="minorHAnsi"/>
          <w:sz w:val="22"/>
        </w:rPr>
        <w:t>Caixabank</w:t>
      </w:r>
      <w:proofErr w:type="spellEnd"/>
      <w:r w:rsidRPr="002B6080">
        <w:rPr>
          <w:rFonts w:asciiTheme="minorHAnsi" w:hAnsiTheme="minorHAnsi" w:cstheme="minorHAnsi"/>
          <w:sz w:val="22"/>
        </w:rPr>
        <w:t xml:space="preserve">, Endesa, REE y Repsol elaboran </w:t>
      </w:r>
      <w:r w:rsidR="000A7229" w:rsidRPr="002B6080">
        <w:rPr>
          <w:rFonts w:asciiTheme="minorHAnsi" w:hAnsiTheme="minorHAnsi" w:cstheme="minorHAnsi"/>
          <w:sz w:val="22"/>
        </w:rPr>
        <w:t>in</w:t>
      </w:r>
      <w:r w:rsidR="00044C38" w:rsidRPr="002B6080">
        <w:rPr>
          <w:rFonts w:asciiTheme="minorHAnsi" w:hAnsiTheme="minorHAnsi" w:cstheme="minorHAnsi"/>
          <w:sz w:val="22"/>
        </w:rPr>
        <w:t>formes específicos sobre materia fiscal</w:t>
      </w:r>
      <w:r w:rsidR="000A7229" w:rsidRPr="002B6080">
        <w:rPr>
          <w:rFonts w:asciiTheme="minorHAnsi" w:hAnsiTheme="minorHAnsi" w:cstheme="minorHAnsi"/>
          <w:sz w:val="22"/>
        </w:rPr>
        <w:t>.</w:t>
      </w:r>
    </w:p>
    <w:p w:rsidR="002B6080" w:rsidRPr="002B6080" w:rsidRDefault="002B6080" w:rsidP="002B6080">
      <w:pPr>
        <w:jc w:val="both"/>
        <w:rPr>
          <w:rFonts w:asciiTheme="minorHAnsi" w:hAnsiTheme="minorHAnsi" w:cstheme="minorHAnsi"/>
          <w:sz w:val="22"/>
        </w:rPr>
      </w:pPr>
    </w:p>
    <w:p w:rsidR="002B6080" w:rsidRPr="002B6080" w:rsidRDefault="002B6080" w:rsidP="002B6080">
      <w:pPr>
        <w:jc w:val="both"/>
        <w:rPr>
          <w:rFonts w:asciiTheme="minorHAnsi" w:hAnsiTheme="minorHAnsi" w:cstheme="minorHAnsi"/>
          <w:b/>
          <w:color w:val="595959"/>
          <w:sz w:val="18"/>
          <w:u w:val="single"/>
        </w:rPr>
      </w:pPr>
      <w:r w:rsidRPr="002B6080">
        <w:rPr>
          <w:rFonts w:asciiTheme="minorHAnsi" w:hAnsiTheme="minorHAnsi" w:cstheme="minorHAnsi"/>
          <w:b/>
          <w:color w:val="595959"/>
          <w:sz w:val="18"/>
          <w:u w:val="single"/>
        </w:rPr>
        <w:t>Acerca de Fundación Compromiso y Transparencia</w:t>
      </w:r>
    </w:p>
    <w:p w:rsidR="002B6080" w:rsidRPr="002B6080" w:rsidRDefault="002B6080" w:rsidP="002B6080">
      <w:pPr>
        <w:jc w:val="both"/>
        <w:rPr>
          <w:rFonts w:asciiTheme="minorHAnsi" w:hAnsiTheme="minorHAnsi" w:cstheme="minorHAnsi"/>
          <w:b/>
          <w:color w:val="595959"/>
          <w:sz w:val="18"/>
          <w:u w:val="single"/>
        </w:rPr>
      </w:pPr>
      <w:r w:rsidRPr="002B6080">
        <w:rPr>
          <w:rFonts w:asciiTheme="minorHAnsi" w:hAnsiTheme="minorHAnsi" w:cstheme="minorHAnsi"/>
          <w:color w:val="595959"/>
          <w:sz w:val="18"/>
        </w:rPr>
        <w:t>La Fundación Compromiso y Transparencia se constituyó en el año 2007 por un grupo de profesionales procedentes del mundo de la empresa, de la academia y del sector no lucrativo con la finalidad de f</w:t>
      </w:r>
      <w:r w:rsidRPr="002B6080">
        <w:rPr>
          <w:rFonts w:asciiTheme="minorHAnsi" w:hAnsiTheme="minorHAnsi" w:cstheme="minorHAnsi"/>
          <w:iCs/>
          <w:color w:val="595959"/>
          <w:sz w:val="18"/>
        </w:rPr>
        <w:t>ortalecer la confianza de la sociedad en las instituciones y empresas promoviendo la transparencia, el buen gobierno y el compromiso social</w:t>
      </w:r>
      <w:r w:rsidRPr="002B6080">
        <w:rPr>
          <w:rFonts w:asciiTheme="minorHAnsi" w:hAnsiTheme="minorHAnsi" w:cstheme="minorHAnsi"/>
          <w:color w:val="595959"/>
          <w:sz w:val="18"/>
        </w:rPr>
        <w:t xml:space="preserve">. Página web </w:t>
      </w:r>
      <w:hyperlink r:id="rId9" w:history="1">
        <w:r w:rsidRPr="002B6080">
          <w:rPr>
            <w:rStyle w:val="Hyperlink"/>
            <w:rFonts w:asciiTheme="minorHAnsi" w:hAnsiTheme="minorHAnsi" w:cstheme="minorHAnsi"/>
            <w:sz w:val="18"/>
          </w:rPr>
          <w:t>www.compromisoytransparencia.com</w:t>
        </w:r>
      </w:hyperlink>
      <w:r w:rsidRPr="002B6080">
        <w:rPr>
          <w:rFonts w:asciiTheme="minorHAnsi" w:hAnsiTheme="minorHAnsi" w:cstheme="minorHAnsi"/>
          <w:color w:val="595959"/>
          <w:sz w:val="18"/>
        </w:rPr>
        <w:t xml:space="preserve"> </w:t>
      </w:r>
    </w:p>
    <w:p w:rsidR="002B6080" w:rsidRPr="002B6080" w:rsidRDefault="002B6080" w:rsidP="002B6080">
      <w:pPr>
        <w:pStyle w:val="ListParagraph"/>
        <w:rPr>
          <w:rFonts w:asciiTheme="minorHAnsi" w:hAnsiTheme="minorHAnsi" w:cstheme="minorHAnsi"/>
          <w:b/>
          <w:color w:val="595959"/>
          <w:sz w:val="18"/>
          <w:u w:val="single"/>
        </w:rPr>
      </w:pPr>
    </w:p>
    <w:p w:rsidR="002B6080" w:rsidRPr="002B6080" w:rsidRDefault="002B6080" w:rsidP="002B6080">
      <w:pPr>
        <w:rPr>
          <w:rFonts w:asciiTheme="minorHAnsi" w:hAnsiTheme="minorHAnsi" w:cstheme="minorHAnsi"/>
          <w:color w:val="595959"/>
          <w:sz w:val="18"/>
        </w:rPr>
      </w:pPr>
      <w:r w:rsidRPr="002B6080">
        <w:rPr>
          <w:rFonts w:asciiTheme="minorHAnsi" w:hAnsiTheme="minorHAnsi" w:cstheme="minorHAnsi"/>
          <w:b/>
          <w:color w:val="595959"/>
          <w:sz w:val="18"/>
          <w:u w:val="single"/>
        </w:rPr>
        <w:t>Más información</w:t>
      </w:r>
      <w:r w:rsidRPr="002B6080">
        <w:rPr>
          <w:rFonts w:asciiTheme="minorHAnsi" w:hAnsiTheme="minorHAnsi" w:cstheme="minorHAnsi"/>
          <w:b/>
          <w:color w:val="595959"/>
          <w:sz w:val="18"/>
          <w:u w:val="single"/>
        </w:rPr>
        <w:br/>
      </w:r>
      <w:r w:rsidRPr="002B6080">
        <w:rPr>
          <w:rFonts w:asciiTheme="minorHAnsi" w:hAnsiTheme="minorHAnsi" w:cstheme="minorHAnsi"/>
          <w:color w:val="595959"/>
          <w:sz w:val="18"/>
        </w:rPr>
        <w:t xml:space="preserve">Esther Barrio </w:t>
      </w:r>
      <w:r w:rsidRPr="002B6080">
        <w:rPr>
          <w:rFonts w:asciiTheme="minorHAnsi" w:hAnsiTheme="minorHAnsi" w:cstheme="minorHAnsi"/>
          <w:color w:val="595959"/>
          <w:sz w:val="18"/>
        </w:rPr>
        <w:br/>
      </w:r>
      <w:hyperlink r:id="rId10" w:history="1">
        <w:r w:rsidRPr="002B6080">
          <w:rPr>
            <w:rStyle w:val="Hyperlink"/>
            <w:rFonts w:asciiTheme="minorHAnsi" w:hAnsiTheme="minorHAnsi" w:cstheme="minorHAnsi"/>
            <w:sz w:val="18"/>
          </w:rPr>
          <w:t>ebarrio@compromisoempresarial.com</w:t>
        </w:r>
      </w:hyperlink>
      <w:r w:rsidRPr="002B6080">
        <w:rPr>
          <w:rFonts w:asciiTheme="minorHAnsi" w:hAnsiTheme="minorHAnsi" w:cstheme="minorHAnsi"/>
          <w:color w:val="595959"/>
          <w:sz w:val="18"/>
        </w:rPr>
        <w:t xml:space="preserve"> </w:t>
      </w:r>
      <w:r w:rsidRPr="002B6080">
        <w:rPr>
          <w:rFonts w:asciiTheme="minorHAnsi" w:hAnsiTheme="minorHAnsi" w:cstheme="minorHAnsi"/>
          <w:color w:val="595959"/>
          <w:sz w:val="18"/>
        </w:rPr>
        <w:br/>
        <w:t>T</w:t>
      </w:r>
      <w:r w:rsidRPr="002B6080">
        <w:rPr>
          <w:rFonts w:asciiTheme="minorHAnsi" w:hAnsiTheme="minorHAnsi" w:cstheme="minorHAnsi"/>
          <w:color w:val="595959"/>
          <w:sz w:val="18"/>
        </w:rPr>
        <w:t>eléfono: 650 38 23 35</w:t>
      </w:r>
    </w:p>
    <w:sectPr w:rsidR="002B6080" w:rsidRPr="002B608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AD" w:rsidRDefault="00823CAD" w:rsidP="002B6080">
      <w:pPr>
        <w:spacing w:after="0" w:line="240" w:lineRule="auto"/>
      </w:pPr>
      <w:r>
        <w:separator/>
      </w:r>
    </w:p>
  </w:endnote>
  <w:endnote w:type="continuationSeparator" w:id="0">
    <w:p w:rsidR="00823CAD" w:rsidRDefault="00823CAD" w:rsidP="002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AD" w:rsidRDefault="00823CAD" w:rsidP="002B6080">
      <w:pPr>
        <w:spacing w:after="0" w:line="240" w:lineRule="auto"/>
      </w:pPr>
      <w:r>
        <w:separator/>
      </w:r>
    </w:p>
  </w:footnote>
  <w:footnote w:type="continuationSeparator" w:id="0">
    <w:p w:rsidR="00823CAD" w:rsidRDefault="00823CAD" w:rsidP="002B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0" w:rsidRDefault="002B6080" w:rsidP="002B6080">
    <w:pPr>
      <w:pStyle w:val="Header"/>
      <w:tabs>
        <w:tab w:val="clear" w:pos="4252"/>
        <w:tab w:val="clear" w:pos="8504"/>
        <w:tab w:val="left" w:pos="3120"/>
      </w:tabs>
      <w:rPr>
        <w:b/>
      </w:rPr>
    </w:pPr>
    <w:r w:rsidRPr="00563FAA">
      <w:rPr>
        <w:b/>
        <w:noProof/>
        <w:lang w:eastAsia="es-ES"/>
      </w:rPr>
      <w:drawing>
        <wp:anchor distT="0" distB="0" distL="114300" distR="114300" simplePos="0" relativeHeight="251659264" behindDoc="0" locked="0" layoutInCell="1" allowOverlap="1" wp14:anchorId="517F6636" wp14:editId="1F8115CA">
          <wp:simplePos x="0" y="0"/>
          <wp:positionH relativeFrom="column">
            <wp:posOffset>3340100</wp:posOffset>
          </wp:positionH>
          <wp:positionV relativeFrom="paragraph">
            <wp:posOffset>-314960</wp:posOffset>
          </wp:positionV>
          <wp:extent cx="2054225" cy="582930"/>
          <wp:effectExtent l="0" t="0" r="0" b="0"/>
          <wp:wrapSquare wrapText="bothSides"/>
          <wp:docPr id="1" name="Imagen 2"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2054225" cy="582930"/>
                  </a:xfrm>
                  <a:prstGeom prst="rect">
                    <a:avLst/>
                  </a:prstGeom>
                  <a:noFill/>
                  <a:ln>
                    <a:noFill/>
                  </a:ln>
                  <a:extLst>
                    <a:ext uri="{53640926-AAD7-44D8-BBD7-CCE9431645EC}">
                      <a14:shadowObscured xmlns:a14="http://schemas.microsoft.com/office/drawing/2010/main"/>
                    </a:ext>
                  </a:extLst>
                </pic:spPr>
              </pic:pic>
            </a:graphicData>
          </a:graphic>
        </wp:anchor>
      </w:drawing>
    </w:r>
    <w:r w:rsidRPr="00563FAA">
      <w:rPr>
        <w:b/>
      </w:rPr>
      <w:t>NOTA DE PRENSA</w:t>
    </w:r>
    <w:r>
      <w:rPr>
        <w:b/>
      </w:rPr>
      <w:tab/>
    </w:r>
  </w:p>
  <w:p w:rsidR="002B6080" w:rsidRPr="002B6080" w:rsidRDefault="002B6080" w:rsidP="002B6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4522C"/>
    <w:multiLevelType w:val="hybridMultilevel"/>
    <w:tmpl w:val="3B70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930355"/>
    <w:multiLevelType w:val="hybridMultilevel"/>
    <w:tmpl w:val="F2286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C5"/>
    <w:rsid w:val="00010DBE"/>
    <w:rsid w:val="00044C38"/>
    <w:rsid w:val="000A7229"/>
    <w:rsid w:val="001266A3"/>
    <w:rsid w:val="00135996"/>
    <w:rsid w:val="0022485F"/>
    <w:rsid w:val="002406E1"/>
    <w:rsid w:val="002B6080"/>
    <w:rsid w:val="002F59C5"/>
    <w:rsid w:val="003451FD"/>
    <w:rsid w:val="00666607"/>
    <w:rsid w:val="00823CAD"/>
    <w:rsid w:val="00966383"/>
    <w:rsid w:val="00A74AAB"/>
    <w:rsid w:val="00BA579F"/>
    <w:rsid w:val="00D52315"/>
    <w:rsid w:val="00FC5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D720-A38F-49CD-A130-D4455463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C5"/>
    <w:pPr>
      <w:ind w:left="720"/>
      <w:contextualSpacing/>
    </w:pPr>
  </w:style>
  <w:style w:type="paragraph" w:styleId="Header">
    <w:name w:val="header"/>
    <w:basedOn w:val="Normal"/>
    <w:link w:val="HeaderChar"/>
    <w:uiPriority w:val="99"/>
    <w:unhideWhenUsed/>
    <w:rsid w:val="002B60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6080"/>
  </w:style>
  <w:style w:type="paragraph" w:styleId="Footer">
    <w:name w:val="footer"/>
    <w:basedOn w:val="Normal"/>
    <w:link w:val="FooterChar"/>
    <w:uiPriority w:val="99"/>
    <w:unhideWhenUsed/>
    <w:rsid w:val="002B60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6080"/>
  </w:style>
  <w:style w:type="character" w:styleId="Hyperlink">
    <w:name w:val="Hyperlink"/>
    <w:basedOn w:val="DefaultParagraphFont"/>
    <w:uiPriority w:val="99"/>
    <w:unhideWhenUsed/>
    <w:rsid w:val="002B6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omisoytransparenc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arrio@compromisoempresarial.comT" TargetMode="External"/><Relationship Id="rId4" Type="http://schemas.openxmlformats.org/officeDocument/2006/relationships/webSettings" Target="webSettings.xml"/><Relationship Id="rId9" Type="http://schemas.openxmlformats.org/officeDocument/2006/relationships/hyperlink" Target="http://www.compromisoytransparenc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Barrio Medina</cp:lastModifiedBy>
  <cp:revision>3</cp:revision>
  <dcterms:created xsi:type="dcterms:W3CDTF">2020-06-10T13:04:00Z</dcterms:created>
  <dcterms:modified xsi:type="dcterms:W3CDTF">2020-06-11T16:11:00Z</dcterms:modified>
</cp:coreProperties>
</file>