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190D" w14:textId="77777777" w:rsidR="005D424B" w:rsidRDefault="005D424B" w:rsidP="002B6080">
      <w:pPr>
        <w:jc w:val="center"/>
        <w:rPr>
          <w:rFonts w:asciiTheme="minorHAnsi" w:hAnsiTheme="minorHAnsi" w:cstheme="minorHAnsi"/>
          <w:i/>
          <w:sz w:val="22"/>
        </w:rPr>
      </w:pPr>
    </w:p>
    <w:p w14:paraId="2F813BB7" w14:textId="28BCA1CE" w:rsidR="002B6080" w:rsidRPr="002B6080" w:rsidRDefault="002B6080" w:rsidP="002B6080">
      <w:pPr>
        <w:jc w:val="center"/>
        <w:rPr>
          <w:rFonts w:asciiTheme="minorHAnsi" w:hAnsiTheme="minorHAnsi" w:cstheme="minorHAnsi"/>
          <w:i/>
          <w:sz w:val="22"/>
        </w:rPr>
      </w:pPr>
      <w:r w:rsidRPr="002B6080">
        <w:rPr>
          <w:rFonts w:asciiTheme="minorHAnsi" w:hAnsiTheme="minorHAnsi" w:cstheme="minorHAnsi"/>
          <w:i/>
          <w:sz w:val="22"/>
        </w:rPr>
        <w:t xml:space="preserve">Según el </w:t>
      </w:r>
      <w:r w:rsidR="00DB5957">
        <w:rPr>
          <w:rFonts w:asciiTheme="minorHAnsi" w:hAnsiTheme="minorHAnsi" w:cstheme="minorHAnsi"/>
          <w:i/>
          <w:sz w:val="22"/>
        </w:rPr>
        <w:t>séptimo</w:t>
      </w:r>
      <w:r w:rsidRPr="002B6080">
        <w:rPr>
          <w:rFonts w:asciiTheme="minorHAnsi" w:hAnsiTheme="minorHAnsi" w:cstheme="minorHAnsi"/>
          <w:i/>
          <w:sz w:val="22"/>
        </w:rPr>
        <w:t xml:space="preserve"> informe ‘Contribución y transparencia’</w:t>
      </w:r>
    </w:p>
    <w:p w14:paraId="0BDC9D6C" w14:textId="45BF860C" w:rsidR="002A5718" w:rsidRPr="00E10E42" w:rsidRDefault="005F5705" w:rsidP="00BB311F">
      <w:pPr>
        <w:jc w:val="center"/>
        <w:rPr>
          <w:rFonts w:asciiTheme="minorHAnsi" w:hAnsiTheme="minorHAnsi" w:cstheme="minorHAnsi"/>
          <w:b/>
          <w:iCs/>
          <w:sz w:val="36"/>
        </w:rPr>
      </w:pPr>
      <w:r w:rsidRPr="00E10E42">
        <w:rPr>
          <w:rFonts w:asciiTheme="minorHAnsi" w:hAnsiTheme="minorHAnsi" w:cstheme="minorHAnsi"/>
          <w:b/>
          <w:iCs/>
          <w:sz w:val="36"/>
        </w:rPr>
        <w:t>Las empresas del IBEX 35 incrementan su transparencia y responsabilidad fiscal</w:t>
      </w:r>
    </w:p>
    <w:p w14:paraId="3B4F4E9F" w14:textId="49C16026" w:rsidR="00DB5957" w:rsidRDefault="00DB5957" w:rsidP="002F59C5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Endesa, Red Eléctrica Española y Repsol alcanzan la máxima puntuación y lideran el ranking de transparencia.</w:t>
      </w:r>
    </w:p>
    <w:p w14:paraId="1400C4BC" w14:textId="10745FE3" w:rsidR="00DB5957" w:rsidRPr="00BB311F" w:rsidRDefault="005F5705" w:rsidP="00DB595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11F">
        <w:rPr>
          <w:rFonts w:asciiTheme="minorHAnsi" w:hAnsiTheme="minorHAnsi" w:cstheme="minorHAnsi"/>
          <w:sz w:val="22"/>
        </w:rPr>
        <w:t>Solo tres empresas obtienen el calificativo de opacas</w:t>
      </w:r>
      <w:r w:rsidR="00BC7DE4">
        <w:rPr>
          <w:rFonts w:asciiTheme="minorHAnsi" w:hAnsiTheme="minorHAnsi" w:cstheme="minorHAnsi"/>
          <w:sz w:val="22"/>
        </w:rPr>
        <w:t>.</w:t>
      </w:r>
    </w:p>
    <w:p w14:paraId="5D4BF5EF" w14:textId="25E88D2F" w:rsidR="002B6080" w:rsidRPr="00BB311F" w:rsidRDefault="005F5705" w:rsidP="00DB595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B311F">
        <w:rPr>
          <w:rFonts w:asciiTheme="minorHAnsi" w:hAnsiTheme="minorHAnsi" w:cstheme="minorHAnsi"/>
          <w:sz w:val="22"/>
        </w:rPr>
        <w:t xml:space="preserve">El informe llama la atención sobre la falta de diligencia, independencia y transparencia de los comités de </w:t>
      </w:r>
      <w:r w:rsidR="00745350" w:rsidRPr="00BB311F">
        <w:rPr>
          <w:rFonts w:asciiTheme="minorHAnsi" w:hAnsiTheme="minorHAnsi" w:cstheme="minorHAnsi"/>
          <w:sz w:val="22"/>
        </w:rPr>
        <w:t>auditoría</w:t>
      </w:r>
      <w:r w:rsidR="00BC7DE4">
        <w:rPr>
          <w:rFonts w:asciiTheme="minorHAnsi" w:hAnsiTheme="minorHAnsi" w:cstheme="minorHAnsi"/>
          <w:sz w:val="22"/>
        </w:rPr>
        <w:t>.</w:t>
      </w:r>
    </w:p>
    <w:p w14:paraId="0BC1DD0F" w14:textId="13CAC768" w:rsidR="00D512E3" w:rsidRDefault="002B6080" w:rsidP="00D512E3">
      <w:pPr>
        <w:jc w:val="both"/>
        <w:rPr>
          <w:rFonts w:asciiTheme="minorHAnsi" w:hAnsiTheme="minorHAnsi" w:cstheme="minorHAnsi"/>
          <w:sz w:val="22"/>
        </w:rPr>
      </w:pPr>
      <w:r w:rsidRPr="002B6080">
        <w:rPr>
          <w:rFonts w:asciiTheme="minorHAnsi" w:hAnsiTheme="minorHAnsi" w:cstheme="minorHAnsi"/>
          <w:b/>
          <w:sz w:val="22"/>
        </w:rPr>
        <w:t xml:space="preserve">Madrid, </w:t>
      </w:r>
      <w:r w:rsidR="00DB5957">
        <w:rPr>
          <w:rFonts w:asciiTheme="minorHAnsi" w:hAnsiTheme="minorHAnsi" w:cstheme="minorHAnsi"/>
          <w:b/>
          <w:sz w:val="22"/>
        </w:rPr>
        <w:t>8</w:t>
      </w:r>
      <w:r w:rsidRPr="002B6080">
        <w:rPr>
          <w:rFonts w:asciiTheme="minorHAnsi" w:hAnsiTheme="minorHAnsi" w:cstheme="minorHAnsi"/>
          <w:b/>
          <w:sz w:val="22"/>
        </w:rPr>
        <w:t xml:space="preserve"> de junio de 2020.</w:t>
      </w:r>
      <w:r>
        <w:rPr>
          <w:rFonts w:asciiTheme="minorHAnsi" w:hAnsiTheme="minorHAnsi" w:cstheme="minorHAnsi"/>
          <w:sz w:val="22"/>
        </w:rPr>
        <w:t xml:space="preserve"> </w:t>
      </w:r>
      <w:r w:rsidR="00DB5957" w:rsidRPr="00DB5957">
        <w:rPr>
          <w:rFonts w:asciiTheme="minorHAnsi" w:hAnsiTheme="minorHAnsi" w:cstheme="minorHAnsi"/>
          <w:sz w:val="22"/>
        </w:rPr>
        <w:t xml:space="preserve">Fundación Compromiso y Transparencia </w:t>
      </w:r>
      <w:r w:rsidR="00DB5957">
        <w:rPr>
          <w:rFonts w:asciiTheme="minorHAnsi" w:hAnsiTheme="minorHAnsi" w:cstheme="minorHAnsi"/>
          <w:sz w:val="22"/>
        </w:rPr>
        <w:t>publica por séptimo año consecutivo el i</w:t>
      </w:r>
      <w:r w:rsidR="002F59C5" w:rsidRPr="002B6080">
        <w:rPr>
          <w:rFonts w:asciiTheme="minorHAnsi" w:hAnsiTheme="minorHAnsi" w:cstheme="minorHAnsi"/>
          <w:sz w:val="22"/>
        </w:rPr>
        <w:t xml:space="preserve">nforme </w:t>
      </w:r>
      <w:r w:rsidR="002F59C5" w:rsidRPr="002B6080">
        <w:rPr>
          <w:rFonts w:asciiTheme="minorHAnsi" w:hAnsiTheme="minorHAnsi" w:cstheme="minorHAnsi"/>
          <w:i/>
          <w:sz w:val="22"/>
        </w:rPr>
        <w:t>Contribución y transparencia</w:t>
      </w:r>
      <w:r w:rsidR="005D424B">
        <w:rPr>
          <w:rFonts w:asciiTheme="minorHAnsi" w:hAnsiTheme="minorHAnsi" w:cstheme="minorHAnsi"/>
          <w:i/>
          <w:sz w:val="22"/>
        </w:rPr>
        <w:t>,</w:t>
      </w:r>
      <w:r w:rsidR="002F59C5" w:rsidRPr="002B6080">
        <w:rPr>
          <w:rFonts w:asciiTheme="minorHAnsi" w:hAnsiTheme="minorHAnsi" w:cstheme="minorHAnsi"/>
          <w:sz w:val="22"/>
        </w:rPr>
        <w:t xml:space="preserve"> </w:t>
      </w:r>
      <w:r w:rsidR="00D512E3" w:rsidRPr="00D512E3">
        <w:rPr>
          <w:rFonts w:asciiTheme="minorHAnsi" w:hAnsiTheme="minorHAnsi" w:cstheme="minorHAnsi"/>
          <w:sz w:val="22"/>
        </w:rPr>
        <w:t>en el que analiza las prácticas de transparencia y buen gobierno de las 35 empresas que conforman el índice bursátil acerca de la información pública sobre su responsabilidad fiscal</w:t>
      </w:r>
      <w:r w:rsidR="00D512E3">
        <w:rPr>
          <w:rFonts w:asciiTheme="minorHAnsi" w:hAnsiTheme="minorHAnsi" w:cstheme="minorHAnsi"/>
          <w:sz w:val="22"/>
        </w:rPr>
        <w:t xml:space="preserve">. </w:t>
      </w:r>
    </w:p>
    <w:p w14:paraId="1B8FCE0B" w14:textId="6550A484" w:rsidR="00D512E3" w:rsidRDefault="00D512E3" w:rsidP="00D512E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este sentido, el documento pone de manifiesto la evolución y compromiso que han mostrado las compañías sobre la publicación de esta información. Solo tres han sido calificadas </w:t>
      </w:r>
      <w:r w:rsidR="005D424B">
        <w:rPr>
          <w:rFonts w:asciiTheme="minorHAnsi" w:hAnsiTheme="minorHAnsi" w:cstheme="minorHAnsi"/>
          <w:sz w:val="22"/>
        </w:rPr>
        <w:t>como</w:t>
      </w:r>
      <w:r>
        <w:rPr>
          <w:rFonts w:asciiTheme="minorHAnsi" w:hAnsiTheme="minorHAnsi" w:cstheme="minorHAnsi"/>
          <w:sz w:val="22"/>
        </w:rPr>
        <w:t xml:space="preserve"> opacas (9%), un dato que contrasta con el 86% que figuraba en la primera edición del informe. </w:t>
      </w:r>
    </w:p>
    <w:p w14:paraId="454BFDDA" w14:textId="0E6612B8" w:rsidR="001867D9" w:rsidRDefault="00D512E3" w:rsidP="00D512E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mayoría de empresas han pasado a ser calificadas como translúcidas, un 5</w:t>
      </w:r>
      <w:r w:rsidR="00E46B30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%, y el </w:t>
      </w:r>
      <w:r w:rsidR="00E46B30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% restante se incluyen en el grupo más transparente. </w:t>
      </w:r>
    </w:p>
    <w:p w14:paraId="42202050" w14:textId="74DC140D" w:rsidR="000B6113" w:rsidRDefault="00A209C0" w:rsidP="00D512E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9FA1B5A" wp14:editId="29EB399A">
            <wp:extent cx="5400040" cy="31724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8BCD" w14:textId="4AF90A6A" w:rsidR="00DB5957" w:rsidRPr="000C10E6" w:rsidRDefault="000C10E6" w:rsidP="00D512E3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Son </w:t>
      </w:r>
      <w:r w:rsidR="00DB5957">
        <w:rPr>
          <w:rFonts w:asciiTheme="minorHAnsi" w:hAnsiTheme="minorHAnsi" w:cstheme="minorHAnsi"/>
          <w:sz w:val="22"/>
        </w:rPr>
        <w:t xml:space="preserve">las energéticas </w:t>
      </w:r>
      <w:r w:rsidR="00DB5957" w:rsidRPr="000C10E6">
        <w:rPr>
          <w:rFonts w:asciiTheme="minorHAnsi" w:hAnsiTheme="minorHAnsi" w:cstheme="minorHAnsi"/>
          <w:b/>
          <w:bCs/>
          <w:sz w:val="22"/>
        </w:rPr>
        <w:t>Endesa, Red Eléctrica Española y Repsol</w:t>
      </w:r>
      <w:r w:rsidR="00DB5957">
        <w:rPr>
          <w:rFonts w:asciiTheme="minorHAnsi" w:hAnsiTheme="minorHAnsi" w:cstheme="minorHAnsi"/>
          <w:sz w:val="22"/>
        </w:rPr>
        <w:t xml:space="preserve"> las tres compañías que lideran empatadas el ranking de transparencia </w:t>
      </w:r>
      <w:r>
        <w:rPr>
          <w:rFonts w:asciiTheme="minorHAnsi" w:hAnsiTheme="minorHAnsi" w:cstheme="minorHAnsi"/>
          <w:sz w:val="22"/>
        </w:rPr>
        <w:t xml:space="preserve">de responsabilidad fiscal </w:t>
      </w:r>
      <w:r w:rsidR="00DB5957">
        <w:rPr>
          <w:rFonts w:asciiTheme="minorHAnsi" w:hAnsiTheme="minorHAnsi" w:cstheme="minorHAnsi"/>
          <w:sz w:val="22"/>
        </w:rPr>
        <w:t xml:space="preserve">con la </w:t>
      </w:r>
      <w:r>
        <w:rPr>
          <w:rFonts w:asciiTheme="minorHAnsi" w:hAnsiTheme="minorHAnsi" w:cstheme="minorHAnsi"/>
          <w:sz w:val="22"/>
        </w:rPr>
        <w:t xml:space="preserve">máxima </w:t>
      </w:r>
      <w:r w:rsidR="00DB5957">
        <w:rPr>
          <w:rFonts w:asciiTheme="minorHAnsi" w:hAnsiTheme="minorHAnsi" w:cstheme="minorHAnsi"/>
          <w:sz w:val="22"/>
        </w:rPr>
        <w:t>puntuación posible</w:t>
      </w:r>
      <w:r w:rsidR="00D512E3">
        <w:rPr>
          <w:rFonts w:asciiTheme="minorHAnsi" w:hAnsiTheme="minorHAnsi" w:cstheme="minorHAnsi"/>
          <w:sz w:val="22"/>
        </w:rPr>
        <w:t xml:space="preserve"> (24 puntos)</w:t>
      </w:r>
      <w:r w:rsidR="00DB5957">
        <w:rPr>
          <w:rFonts w:asciiTheme="minorHAnsi" w:hAnsiTheme="minorHAnsi" w:cstheme="minorHAnsi"/>
          <w:sz w:val="22"/>
        </w:rPr>
        <w:t xml:space="preserve">. </w:t>
      </w:r>
      <w:r w:rsidR="00D512E3">
        <w:rPr>
          <w:rFonts w:asciiTheme="minorHAnsi" w:hAnsiTheme="minorHAnsi" w:cstheme="minorHAnsi"/>
          <w:sz w:val="22"/>
        </w:rPr>
        <w:t xml:space="preserve">Tras estas, completan el pódium </w:t>
      </w:r>
      <w:r w:rsidR="00D512E3" w:rsidRPr="000C10E6">
        <w:rPr>
          <w:rFonts w:asciiTheme="minorHAnsi" w:hAnsiTheme="minorHAnsi" w:cstheme="minorHAnsi"/>
          <w:b/>
          <w:bCs/>
          <w:sz w:val="22"/>
        </w:rPr>
        <w:t>Banco de Sabadell,</w:t>
      </w:r>
      <w:r w:rsidR="00D512E3">
        <w:rPr>
          <w:rFonts w:asciiTheme="minorHAnsi" w:hAnsiTheme="minorHAnsi" w:cstheme="minorHAnsi"/>
          <w:sz w:val="22"/>
        </w:rPr>
        <w:t xml:space="preserve"> en segundo lugar, con </w:t>
      </w:r>
      <w:r w:rsidR="00D512E3" w:rsidRPr="00D512E3">
        <w:rPr>
          <w:rFonts w:asciiTheme="minorHAnsi" w:hAnsiTheme="minorHAnsi" w:cstheme="minorHAnsi"/>
          <w:sz w:val="22"/>
        </w:rPr>
        <w:t>23</w:t>
      </w:r>
      <w:r w:rsidR="00D512E3">
        <w:rPr>
          <w:rFonts w:asciiTheme="minorHAnsi" w:hAnsiTheme="minorHAnsi" w:cstheme="minorHAnsi"/>
          <w:sz w:val="22"/>
        </w:rPr>
        <w:t xml:space="preserve"> puntos y, en tercera posición, con 21, </w:t>
      </w:r>
      <w:proofErr w:type="spellStart"/>
      <w:r w:rsidR="00D512E3" w:rsidRPr="000C10E6">
        <w:rPr>
          <w:rFonts w:asciiTheme="minorHAnsi" w:hAnsiTheme="minorHAnsi" w:cstheme="minorHAnsi"/>
          <w:b/>
          <w:bCs/>
          <w:sz w:val="22"/>
        </w:rPr>
        <w:t>Caixabank</w:t>
      </w:r>
      <w:proofErr w:type="spellEnd"/>
      <w:r w:rsidR="00D512E3" w:rsidRPr="000C10E6">
        <w:rPr>
          <w:rFonts w:asciiTheme="minorHAnsi" w:hAnsiTheme="minorHAnsi" w:cstheme="minorHAnsi"/>
          <w:b/>
          <w:bCs/>
          <w:sz w:val="22"/>
        </w:rPr>
        <w:t>, Iberdrola y Siemens Gamesa.</w:t>
      </w:r>
    </w:p>
    <w:p w14:paraId="3CE7E386" w14:textId="61C43D95" w:rsidR="00D512E3" w:rsidRDefault="00D512E3" w:rsidP="00D512E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Esto hace que sean los </w:t>
      </w:r>
      <w:r w:rsidRPr="000C10E6">
        <w:rPr>
          <w:rFonts w:asciiTheme="minorHAnsi" w:hAnsiTheme="minorHAnsi" w:cstheme="minorHAnsi"/>
          <w:b/>
          <w:bCs/>
          <w:sz w:val="22"/>
        </w:rPr>
        <w:t>sectores energéticos y de la banca</w:t>
      </w:r>
      <w:r>
        <w:rPr>
          <w:rFonts w:asciiTheme="minorHAnsi" w:hAnsiTheme="minorHAnsi" w:cstheme="minorHAnsi"/>
          <w:sz w:val="22"/>
        </w:rPr>
        <w:t xml:space="preserve"> los que más compañías transparentes suman, es decir, con más empresas que rinde cuentas sobre su</w:t>
      </w:r>
      <w:r w:rsidRPr="00D512E3">
        <w:rPr>
          <w:rFonts w:asciiTheme="minorHAnsi" w:hAnsiTheme="minorHAnsi" w:cstheme="minorHAnsi"/>
          <w:sz w:val="22"/>
        </w:rPr>
        <w:t xml:space="preserve"> estrategia fiscal, los impuestos </w:t>
      </w:r>
      <w:r w:rsidRPr="00D512E3">
        <w:rPr>
          <w:rFonts w:asciiTheme="minorHAnsi" w:hAnsiTheme="minorHAnsi" w:cstheme="minorHAnsi"/>
          <w:sz w:val="22"/>
        </w:rPr>
        <w:lastRenderedPageBreak/>
        <w:t>pagados país por país, la información sobre paraísos fiscales y el blanqueo de capitales, los sistemas de control y de denuncia o la independencia del auditor externo, entre otros.</w:t>
      </w:r>
    </w:p>
    <w:p w14:paraId="407B70F8" w14:textId="09B1135C" w:rsidR="005D424B" w:rsidRPr="005D424B" w:rsidRDefault="005D424B" w:rsidP="00D512E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5D424B">
        <w:rPr>
          <w:rFonts w:asciiTheme="minorHAnsi" w:hAnsiTheme="minorHAnsi" w:cstheme="minorHAnsi"/>
          <w:b/>
          <w:bCs/>
          <w:sz w:val="22"/>
        </w:rPr>
        <w:t>Mejoría en las distintas áreas</w:t>
      </w:r>
    </w:p>
    <w:p w14:paraId="7BAEEDF4" w14:textId="76E84880" w:rsidR="000C10E6" w:rsidRPr="005D424B" w:rsidRDefault="000C10E6" w:rsidP="000C10E6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Pr="000C10E6">
        <w:rPr>
          <w:rFonts w:asciiTheme="minorHAnsi" w:hAnsiTheme="minorHAnsi" w:cstheme="minorHAnsi"/>
          <w:sz w:val="22"/>
        </w:rPr>
        <w:t>n relación con el cumplimiento de los indicadores, se ha producido una mejoría generalizada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en prácticamente la mayoría de ellos. Las únicas dos áreas en las que no se generan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 xml:space="preserve">avances o donde se han producido retrocesos son las que afectan a la </w:t>
      </w:r>
      <w:r w:rsidRPr="005D424B">
        <w:rPr>
          <w:rFonts w:asciiTheme="minorHAnsi" w:hAnsiTheme="minorHAnsi" w:cstheme="minorHAnsi"/>
          <w:b/>
          <w:bCs/>
          <w:sz w:val="22"/>
        </w:rPr>
        <w:t>relación con el auditor externo y el área de gobierno.</w:t>
      </w:r>
    </w:p>
    <w:p w14:paraId="3AB81CD2" w14:textId="3D8F2C24" w:rsidR="000C10E6" w:rsidRPr="000C10E6" w:rsidRDefault="000C10E6" w:rsidP="000C10E6">
      <w:pPr>
        <w:jc w:val="both"/>
        <w:rPr>
          <w:rFonts w:asciiTheme="minorHAnsi" w:hAnsiTheme="minorHAnsi" w:cstheme="minorHAnsi"/>
          <w:sz w:val="22"/>
        </w:rPr>
      </w:pPr>
      <w:r w:rsidRPr="000C10E6">
        <w:rPr>
          <w:rFonts w:asciiTheme="minorHAnsi" w:hAnsiTheme="minorHAnsi" w:cstheme="minorHAnsi"/>
          <w:sz w:val="22"/>
        </w:rPr>
        <w:t>Las dos áreas están interrelacionadas. La relación con el auditor externo es una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competencia que corresponde al comité de auditoría y el área de gobierno analiza la calidad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de la rendición de cuentas y supervisión del comité de auditoría en relación con los temas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fiscales que se materializa en su informe anual de actividades y en su examen y valoración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del Informe de transparencia a la Agencia Estatal de Administración Tributaria (AEAT).</w:t>
      </w:r>
    </w:p>
    <w:p w14:paraId="6169DB22" w14:textId="50C77B65" w:rsidR="00D512E3" w:rsidRDefault="000C10E6" w:rsidP="000C10E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</w:t>
      </w:r>
      <w:r w:rsidRPr="000C10E6">
        <w:rPr>
          <w:rFonts w:asciiTheme="minorHAnsi" w:hAnsiTheme="minorHAnsi" w:cstheme="minorHAnsi"/>
          <w:sz w:val="22"/>
        </w:rPr>
        <w:t>No puede extrañar que las empresas que han obtenido una mejor valoración en el ranking sean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las que mejor evaluación obtienen en estas dos áreas. El papel del consejo de administración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(del comité de auditoría por delegación) resulta crucial para asegurar que las cuestiones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fiscales reclamen la atención de la empresa y se sitúen en su agenda de prioridades. Si no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es así, seguirán siendo una cuestión accesoria y subordinada a otros intereses y objetivos</w:t>
      </w:r>
      <w:r>
        <w:rPr>
          <w:rFonts w:asciiTheme="minorHAnsi" w:hAnsiTheme="minorHAnsi" w:cstheme="minorHAnsi"/>
          <w:sz w:val="22"/>
        </w:rPr>
        <w:t xml:space="preserve"> </w:t>
      </w:r>
      <w:r w:rsidRPr="000C10E6">
        <w:rPr>
          <w:rFonts w:asciiTheme="minorHAnsi" w:hAnsiTheme="minorHAnsi" w:cstheme="minorHAnsi"/>
          <w:sz w:val="22"/>
        </w:rPr>
        <w:t>más prioritarios</w:t>
      </w:r>
      <w:r>
        <w:rPr>
          <w:rFonts w:asciiTheme="minorHAnsi" w:hAnsiTheme="minorHAnsi" w:cstheme="minorHAnsi"/>
          <w:sz w:val="22"/>
        </w:rPr>
        <w:t>”, explican los autores del informe Javier Martín Cavanna y Concepción Sacri</w:t>
      </w:r>
      <w:r w:rsidR="000B7541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tán.</w:t>
      </w:r>
    </w:p>
    <w:p w14:paraId="0FD5BB58" w14:textId="70FEE7DB" w:rsidR="005D424B" w:rsidRPr="005D424B" w:rsidRDefault="005D424B" w:rsidP="000C10E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5D424B">
        <w:rPr>
          <w:rFonts w:asciiTheme="minorHAnsi" w:hAnsiTheme="minorHAnsi" w:cstheme="minorHAnsi"/>
          <w:b/>
          <w:bCs/>
          <w:sz w:val="22"/>
        </w:rPr>
        <w:t>La diligencia e independencia de los comités de auditoría, a examen</w:t>
      </w:r>
    </w:p>
    <w:p w14:paraId="46858840" w14:textId="580D5245" w:rsidR="00044C38" w:rsidRDefault="000C10E6" w:rsidP="000C10E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importancia de esta cuestión ha llevado a la Fundación Compromiso y Transparencia a realizar</w:t>
      </w:r>
      <w:r w:rsidR="00D512E3">
        <w:rPr>
          <w:rFonts w:asciiTheme="minorHAnsi" w:hAnsiTheme="minorHAnsi" w:cstheme="minorHAnsi"/>
          <w:sz w:val="22"/>
        </w:rPr>
        <w:t xml:space="preserve">, como novedad, </w:t>
      </w:r>
      <w:r>
        <w:rPr>
          <w:rFonts w:asciiTheme="minorHAnsi" w:hAnsiTheme="minorHAnsi" w:cstheme="minorHAnsi"/>
          <w:sz w:val="22"/>
        </w:rPr>
        <w:t xml:space="preserve">una evaluación aparte sobre </w:t>
      </w:r>
      <w:r w:rsidR="00D512E3" w:rsidRPr="00D512E3">
        <w:rPr>
          <w:rFonts w:asciiTheme="minorHAnsi" w:hAnsiTheme="minorHAnsi" w:cstheme="minorHAnsi"/>
          <w:sz w:val="22"/>
        </w:rPr>
        <w:t xml:space="preserve">la labor de los comités de auditoría como principales órganos delegados del consejo para supervisar los riesgos fiscales y la independencia del auditor externo. </w:t>
      </w:r>
    </w:p>
    <w:p w14:paraId="1219F4D7" w14:textId="34CFEBA6" w:rsidR="000C10E6" w:rsidRDefault="0004352F" w:rsidP="0004352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En este sentido, l</w:t>
      </w:r>
      <w:r w:rsidRPr="0004352F">
        <w:rPr>
          <w:rFonts w:asciiTheme="minorHAnsi" w:hAnsiTheme="minorHAnsi" w:cstheme="minorHAnsi"/>
          <w:sz w:val="22"/>
        </w:rPr>
        <w:t>os comités de auditoría mejor valorados corresponde</w:t>
      </w:r>
      <w:r>
        <w:rPr>
          <w:rFonts w:asciiTheme="minorHAnsi" w:hAnsiTheme="minorHAnsi" w:cstheme="minorHAnsi"/>
          <w:sz w:val="22"/>
        </w:rPr>
        <w:t>n</w:t>
      </w:r>
      <w:r w:rsidRPr="0004352F">
        <w:rPr>
          <w:rFonts w:asciiTheme="minorHAnsi" w:hAnsiTheme="minorHAnsi" w:cstheme="minorHAnsi"/>
          <w:sz w:val="22"/>
        </w:rPr>
        <w:t xml:space="preserve"> a las compañías mejor situadas</w:t>
      </w:r>
      <w:r>
        <w:rPr>
          <w:rFonts w:asciiTheme="minorHAnsi" w:hAnsiTheme="minorHAnsi" w:cstheme="minorHAnsi"/>
          <w:sz w:val="22"/>
        </w:rPr>
        <w:t xml:space="preserve"> </w:t>
      </w:r>
      <w:r w:rsidRPr="0004352F">
        <w:rPr>
          <w:rFonts w:asciiTheme="minorHAnsi" w:hAnsiTheme="minorHAnsi" w:cstheme="minorHAnsi"/>
          <w:sz w:val="22"/>
        </w:rPr>
        <w:t>en el ranking de transparencia de la responsabilidad fiscal (</w:t>
      </w:r>
      <w:r w:rsidRPr="0004352F">
        <w:rPr>
          <w:rFonts w:asciiTheme="minorHAnsi" w:hAnsiTheme="minorHAnsi" w:cstheme="minorHAnsi"/>
          <w:b/>
          <w:bCs/>
          <w:sz w:val="22"/>
        </w:rPr>
        <w:t>Banco de Sabadell, Banco de Santander, Endesa, Iberdrola, Red Eléctrica y Repsol),</w:t>
      </w:r>
      <w:r w:rsidRPr="0004352F">
        <w:rPr>
          <w:rFonts w:asciiTheme="minorHAnsi" w:hAnsiTheme="minorHAnsi" w:cstheme="minorHAnsi"/>
          <w:sz w:val="22"/>
        </w:rPr>
        <w:t xml:space="preserve"> de donde se deduce la</w:t>
      </w:r>
      <w:r>
        <w:rPr>
          <w:rFonts w:asciiTheme="minorHAnsi" w:hAnsiTheme="minorHAnsi" w:cstheme="minorHAnsi"/>
          <w:sz w:val="22"/>
        </w:rPr>
        <w:t xml:space="preserve"> </w:t>
      </w:r>
      <w:r w:rsidRPr="0004352F">
        <w:rPr>
          <w:rFonts w:asciiTheme="minorHAnsi" w:hAnsiTheme="minorHAnsi" w:cstheme="minorHAnsi"/>
          <w:sz w:val="22"/>
        </w:rPr>
        <w:t>existencia de una correlación positiva entre la transparencia y responsabilidad fiscal</w:t>
      </w:r>
      <w:r>
        <w:rPr>
          <w:rFonts w:asciiTheme="minorHAnsi" w:hAnsiTheme="minorHAnsi" w:cstheme="minorHAnsi"/>
          <w:sz w:val="22"/>
        </w:rPr>
        <w:t xml:space="preserve"> </w:t>
      </w:r>
      <w:r w:rsidRPr="0004352F">
        <w:rPr>
          <w:rFonts w:asciiTheme="minorHAnsi" w:hAnsiTheme="minorHAnsi" w:cstheme="minorHAnsi"/>
          <w:sz w:val="22"/>
        </w:rPr>
        <w:t>y un mejor funcionamiento del comité de auditoría.</w:t>
      </w:r>
    </w:p>
    <w:p w14:paraId="27900238" w14:textId="62962264" w:rsidR="0004352F" w:rsidRPr="0004352F" w:rsidRDefault="0004352F" w:rsidP="0004352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informe pone de manifiesto la diferencia de horas dedicadas por el comité de auditoría a lo largo del año entre las diferentes empresas; muestra la relación entre el número de consejeros independientes con el tipo de propiedad; denuncia la falta de evaluación de la calidad de la auditoría externa, o la extendida práctica entre las empresas del IBEX 35 de contratar </w:t>
      </w:r>
      <w:r w:rsidRPr="0004352F">
        <w:rPr>
          <w:rFonts w:asciiTheme="minorHAnsi" w:hAnsiTheme="minorHAnsi" w:cstheme="minorHAnsi"/>
          <w:sz w:val="22"/>
        </w:rPr>
        <w:t>servicios de asesoría fiscal con la empresa auditora</w:t>
      </w:r>
      <w:r>
        <w:rPr>
          <w:rFonts w:asciiTheme="minorHAnsi" w:hAnsiTheme="minorHAnsi" w:cstheme="minorHAnsi"/>
          <w:sz w:val="22"/>
        </w:rPr>
        <w:t xml:space="preserve"> o no informar sobre esta cuestión.</w:t>
      </w:r>
    </w:p>
    <w:p w14:paraId="0BC8E575" w14:textId="77777777" w:rsidR="002B6080" w:rsidRPr="002B6080" w:rsidRDefault="002B6080" w:rsidP="002B6080">
      <w:pPr>
        <w:jc w:val="both"/>
        <w:rPr>
          <w:rFonts w:asciiTheme="minorHAnsi" w:hAnsiTheme="minorHAnsi" w:cstheme="minorHAnsi"/>
          <w:sz w:val="22"/>
        </w:rPr>
      </w:pPr>
    </w:p>
    <w:p w14:paraId="351763B1" w14:textId="77777777" w:rsidR="002B6080" w:rsidRPr="002B6080" w:rsidRDefault="002B6080" w:rsidP="002B6080">
      <w:pPr>
        <w:jc w:val="both"/>
        <w:rPr>
          <w:rFonts w:asciiTheme="minorHAnsi" w:hAnsiTheme="minorHAnsi" w:cstheme="minorHAnsi"/>
          <w:b/>
          <w:color w:val="595959"/>
          <w:sz w:val="18"/>
          <w:u w:val="single"/>
        </w:rPr>
      </w:pPr>
      <w:r w:rsidRPr="002B6080">
        <w:rPr>
          <w:rFonts w:asciiTheme="minorHAnsi" w:hAnsiTheme="minorHAnsi" w:cstheme="minorHAnsi"/>
          <w:b/>
          <w:color w:val="595959"/>
          <w:sz w:val="18"/>
          <w:u w:val="single"/>
        </w:rPr>
        <w:t>Acerca de Fundación Compromiso y Transparencia</w:t>
      </w:r>
    </w:p>
    <w:p w14:paraId="5D583AE4" w14:textId="77777777" w:rsidR="002B6080" w:rsidRPr="002B6080" w:rsidRDefault="002B6080" w:rsidP="002B6080">
      <w:pPr>
        <w:jc w:val="both"/>
        <w:rPr>
          <w:rFonts w:asciiTheme="minorHAnsi" w:hAnsiTheme="minorHAnsi" w:cstheme="minorHAnsi"/>
          <w:b/>
          <w:color w:val="595959"/>
          <w:sz w:val="18"/>
          <w:u w:val="single"/>
        </w:rPr>
      </w:pPr>
      <w:r w:rsidRPr="002B6080">
        <w:rPr>
          <w:rFonts w:asciiTheme="minorHAnsi" w:hAnsiTheme="minorHAnsi" w:cstheme="minorHAnsi"/>
          <w:color w:val="595959"/>
          <w:sz w:val="18"/>
        </w:rPr>
        <w:t>La Fundación Compromiso y Transparencia se constituyó en el año 2007 por un grupo de profesionales procedentes del mundo de la empresa, de la academia y del sector no lucrativo con la finalidad de f</w:t>
      </w:r>
      <w:r w:rsidRPr="002B6080">
        <w:rPr>
          <w:rFonts w:asciiTheme="minorHAnsi" w:hAnsiTheme="minorHAnsi" w:cstheme="minorHAnsi"/>
          <w:iCs/>
          <w:color w:val="595959"/>
          <w:sz w:val="18"/>
        </w:rPr>
        <w:t>ortalecer la confianza de la sociedad en las instituciones y empresas promoviendo la transparencia, el buen gobierno y el compromiso social</w:t>
      </w:r>
      <w:r w:rsidRPr="002B6080">
        <w:rPr>
          <w:rFonts w:asciiTheme="minorHAnsi" w:hAnsiTheme="minorHAnsi" w:cstheme="minorHAnsi"/>
          <w:color w:val="595959"/>
          <w:sz w:val="18"/>
        </w:rPr>
        <w:t xml:space="preserve">. Página web </w:t>
      </w:r>
      <w:hyperlink r:id="rId8" w:history="1">
        <w:r w:rsidRPr="002B6080">
          <w:rPr>
            <w:rStyle w:val="Hipervnculo"/>
            <w:rFonts w:asciiTheme="minorHAnsi" w:hAnsiTheme="minorHAnsi" w:cstheme="minorHAnsi"/>
            <w:sz w:val="18"/>
          </w:rPr>
          <w:t>www.compromisoytransparencia.com</w:t>
        </w:r>
      </w:hyperlink>
      <w:r w:rsidRPr="002B6080">
        <w:rPr>
          <w:rFonts w:asciiTheme="minorHAnsi" w:hAnsiTheme="minorHAnsi" w:cstheme="minorHAnsi"/>
          <w:color w:val="595959"/>
          <w:sz w:val="18"/>
        </w:rPr>
        <w:t xml:space="preserve"> </w:t>
      </w:r>
    </w:p>
    <w:p w14:paraId="1CD82282" w14:textId="77777777" w:rsidR="002B6080" w:rsidRPr="002B6080" w:rsidRDefault="002B6080" w:rsidP="002B6080">
      <w:pPr>
        <w:pStyle w:val="Prrafodelista"/>
        <w:rPr>
          <w:rFonts w:asciiTheme="minorHAnsi" w:hAnsiTheme="minorHAnsi" w:cstheme="minorHAnsi"/>
          <w:b/>
          <w:color w:val="595959"/>
          <w:sz w:val="18"/>
          <w:u w:val="single"/>
        </w:rPr>
      </w:pPr>
    </w:p>
    <w:p w14:paraId="2AB09B5C" w14:textId="0AD246ED" w:rsidR="002B6080" w:rsidRPr="002B6080" w:rsidRDefault="002B6080" w:rsidP="002B6080">
      <w:pPr>
        <w:rPr>
          <w:rFonts w:asciiTheme="minorHAnsi" w:hAnsiTheme="minorHAnsi" w:cstheme="minorHAnsi"/>
          <w:color w:val="595959"/>
          <w:sz w:val="18"/>
        </w:rPr>
      </w:pPr>
      <w:r w:rsidRPr="002B6080">
        <w:rPr>
          <w:rFonts w:asciiTheme="minorHAnsi" w:hAnsiTheme="minorHAnsi" w:cstheme="minorHAnsi"/>
          <w:b/>
          <w:color w:val="595959"/>
          <w:sz w:val="18"/>
          <w:u w:val="single"/>
        </w:rPr>
        <w:t>Más información</w:t>
      </w:r>
      <w:r w:rsidRPr="002B6080">
        <w:rPr>
          <w:rFonts w:asciiTheme="minorHAnsi" w:hAnsiTheme="minorHAnsi" w:cstheme="minorHAnsi"/>
          <w:b/>
          <w:color w:val="595959"/>
          <w:sz w:val="18"/>
          <w:u w:val="single"/>
        </w:rPr>
        <w:br/>
      </w:r>
      <w:r w:rsidRPr="002B6080">
        <w:rPr>
          <w:rFonts w:asciiTheme="minorHAnsi" w:hAnsiTheme="minorHAnsi" w:cstheme="minorHAnsi"/>
          <w:color w:val="595959"/>
          <w:sz w:val="18"/>
        </w:rPr>
        <w:t xml:space="preserve">Esther Barrio </w:t>
      </w:r>
      <w:r w:rsidR="000B6113">
        <w:rPr>
          <w:rFonts w:asciiTheme="minorHAnsi" w:hAnsiTheme="minorHAnsi" w:cstheme="minorHAnsi"/>
          <w:color w:val="595959"/>
          <w:sz w:val="18"/>
        </w:rPr>
        <w:t xml:space="preserve">| </w:t>
      </w:r>
      <w:hyperlink r:id="rId9" w:history="1">
        <w:r w:rsidRPr="002B6080">
          <w:rPr>
            <w:rStyle w:val="Hipervnculo"/>
            <w:rFonts w:asciiTheme="minorHAnsi" w:hAnsiTheme="minorHAnsi" w:cstheme="minorHAnsi"/>
            <w:sz w:val="18"/>
          </w:rPr>
          <w:t>ebarrio@compromisoempresarial.com</w:t>
        </w:r>
      </w:hyperlink>
      <w:r w:rsidRPr="002B6080">
        <w:rPr>
          <w:rFonts w:asciiTheme="minorHAnsi" w:hAnsiTheme="minorHAnsi" w:cstheme="minorHAnsi"/>
          <w:color w:val="595959"/>
          <w:sz w:val="18"/>
        </w:rPr>
        <w:t xml:space="preserve"> </w:t>
      </w:r>
      <w:r w:rsidR="000B6113">
        <w:rPr>
          <w:rFonts w:asciiTheme="minorHAnsi" w:hAnsiTheme="minorHAnsi" w:cstheme="minorHAnsi"/>
          <w:color w:val="595959"/>
          <w:sz w:val="18"/>
        </w:rPr>
        <w:t xml:space="preserve">| </w:t>
      </w:r>
      <w:r w:rsidRPr="002B6080">
        <w:rPr>
          <w:rFonts w:asciiTheme="minorHAnsi" w:hAnsiTheme="minorHAnsi" w:cstheme="minorHAnsi"/>
          <w:color w:val="595959"/>
          <w:sz w:val="18"/>
        </w:rPr>
        <w:t>Teléfono: 650 38 23 35</w:t>
      </w:r>
    </w:p>
    <w:sectPr w:rsidR="002B6080" w:rsidRPr="002B608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FEB8" w14:textId="77777777" w:rsidR="003C7829" w:rsidRDefault="003C7829" w:rsidP="002B6080">
      <w:pPr>
        <w:spacing w:after="0" w:line="240" w:lineRule="auto"/>
      </w:pPr>
      <w:r>
        <w:separator/>
      </w:r>
    </w:p>
  </w:endnote>
  <w:endnote w:type="continuationSeparator" w:id="0">
    <w:p w14:paraId="24131892" w14:textId="77777777" w:rsidR="003C7829" w:rsidRDefault="003C7829" w:rsidP="002B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FF02" w14:textId="77777777" w:rsidR="003C7829" w:rsidRDefault="003C7829" w:rsidP="002B6080">
      <w:pPr>
        <w:spacing w:after="0" w:line="240" w:lineRule="auto"/>
      </w:pPr>
      <w:r>
        <w:separator/>
      </w:r>
    </w:p>
  </w:footnote>
  <w:footnote w:type="continuationSeparator" w:id="0">
    <w:p w14:paraId="2F5A32F9" w14:textId="77777777" w:rsidR="003C7829" w:rsidRDefault="003C7829" w:rsidP="002B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B65E" w14:textId="77777777" w:rsidR="002B6080" w:rsidRDefault="002B6080" w:rsidP="002B6080">
    <w:pPr>
      <w:pStyle w:val="Encabezado"/>
      <w:tabs>
        <w:tab w:val="clear" w:pos="4252"/>
        <w:tab w:val="clear" w:pos="8504"/>
        <w:tab w:val="left" w:pos="3120"/>
      </w:tabs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6020C90B" wp14:editId="2E37AB8A">
          <wp:simplePos x="0" y="0"/>
          <wp:positionH relativeFrom="margin">
            <wp:align>right</wp:align>
          </wp:positionH>
          <wp:positionV relativeFrom="paragraph">
            <wp:posOffset>-186462</wp:posOffset>
          </wp:positionV>
          <wp:extent cx="1497965" cy="424815"/>
          <wp:effectExtent l="0" t="0" r="6985" b="0"/>
          <wp:wrapSquare wrapText="bothSides"/>
          <wp:docPr id="1" name="Imagen 2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05"/>
                  <a:stretch/>
                </pic:blipFill>
                <pic:spPr bwMode="auto">
                  <a:xfrm>
                    <a:off x="0" y="0"/>
                    <a:ext cx="14979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FAA">
      <w:rPr>
        <w:b/>
      </w:rPr>
      <w:t>NOTA DE PRENSA</w:t>
    </w:r>
    <w:r>
      <w:rPr>
        <w:b/>
      </w:rPr>
      <w:tab/>
    </w:r>
  </w:p>
  <w:p w14:paraId="202AF03E" w14:textId="77777777" w:rsidR="002B6080" w:rsidRPr="002B6080" w:rsidRDefault="002B6080" w:rsidP="002B60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522C"/>
    <w:multiLevelType w:val="hybridMultilevel"/>
    <w:tmpl w:val="3B708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355"/>
    <w:multiLevelType w:val="hybridMultilevel"/>
    <w:tmpl w:val="F2286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C5"/>
    <w:rsid w:val="00010DBE"/>
    <w:rsid w:val="0004352F"/>
    <w:rsid w:val="00044C38"/>
    <w:rsid w:val="000A7229"/>
    <w:rsid w:val="000B6113"/>
    <w:rsid w:val="000B7541"/>
    <w:rsid w:val="000C10E6"/>
    <w:rsid w:val="001266A3"/>
    <w:rsid w:val="00135996"/>
    <w:rsid w:val="001867D9"/>
    <w:rsid w:val="0022485F"/>
    <w:rsid w:val="002406E1"/>
    <w:rsid w:val="002B6080"/>
    <w:rsid w:val="002F59C5"/>
    <w:rsid w:val="003451FD"/>
    <w:rsid w:val="003C7829"/>
    <w:rsid w:val="005D424B"/>
    <w:rsid w:val="005F5705"/>
    <w:rsid w:val="00666607"/>
    <w:rsid w:val="00745350"/>
    <w:rsid w:val="00823CAD"/>
    <w:rsid w:val="0086100B"/>
    <w:rsid w:val="00907B75"/>
    <w:rsid w:val="00934DAB"/>
    <w:rsid w:val="00966383"/>
    <w:rsid w:val="009A2222"/>
    <w:rsid w:val="00A209C0"/>
    <w:rsid w:val="00A61054"/>
    <w:rsid w:val="00A74AAB"/>
    <w:rsid w:val="00AF67E8"/>
    <w:rsid w:val="00BA579F"/>
    <w:rsid w:val="00BB311F"/>
    <w:rsid w:val="00BC7DE4"/>
    <w:rsid w:val="00D512E3"/>
    <w:rsid w:val="00D52315"/>
    <w:rsid w:val="00DA119D"/>
    <w:rsid w:val="00DB5957"/>
    <w:rsid w:val="00E10E42"/>
    <w:rsid w:val="00E46B30"/>
    <w:rsid w:val="00EA0B5F"/>
    <w:rsid w:val="00F35B72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7F8A2"/>
  <w15:chartTrackingRefBased/>
  <w15:docId w15:val="{1723D720-A38F-49CD-A130-D445546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080"/>
  </w:style>
  <w:style w:type="paragraph" w:styleId="Piedepgina">
    <w:name w:val="footer"/>
    <w:basedOn w:val="Normal"/>
    <w:link w:val="PiedepginaCar"/>
    <w:uiPriority w:val="99"/>
    <w:unhideWhenUsed/>
    <w:rsid w:val="002B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080"/>
  </w:style>
  <w:style w:type="character" w:styleId="Hipervnculo">
    <w:name w:val="Hyperlink"/>
    <w:basedOn w:val="Fuentedeprrafopredeter"/>
    <w:uiPriority w:val="99"/>
    <w:unhideWhenUsed/>
    <w:rsid w:val="002B6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ytransparenc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arrio@compromisoempresarial.co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Esther Barrio Medina</cp:lastModifiedBy>
  <cp:revision>6</cp:revision>
  <dcterms:created xsi:type="dcterms:W3CDTF">2021-06-07T15:19:00Z</dcterms:created>
  <dcterms:modified xsi:type="dcterms:W3CDTF">2021-06-15T09:07:00Z</dcterms:modified>
</cp:coreProperties>
</file>