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C4150" w14:textId="77777777" w:rsidR="00806775" w:rsidRDefault="006743A2">
      <w:pPr>
        <w:jc w:val="center"/>
      </w:pPr>
      <w:r>
        <w:rPr>
          <w:rFonts w:cs="Open Sans"/>
          <w:i/>
          <w:iCs/>
          <w:sz w:val="20"/>
          <w:szCs w:val="20"/>
        </w:rPr>
        <w:t>Según el cuarto informe ‘Carrera y talento sénior’ de la Fundación Haz</w:t>
      </w:r>
    </w:p>
    <w:p w14:paraId="60C2576D" w14:textId="77777777" w:rsidR="00806775" w:rsidRDefault="00806775">
      <w:pPr>
        <w:rPr>
          <w:rFonts w:cs="Open Sans"/>
          <w:sz w:val="20"/>
          <w:szCs w:val="20"/>
        </w:rPr>
      </w:pPr>
    </w:p>
    <w:p w14:paraId="1AA0E7BC" w14:textId="52CF9CE7" w:rsidR="00806775" w:rsidRPr="00D202C2" w:rsidRDefault="006743A2" w:rsidP="005028B8">
      <w:pPr>
        <w:spacing w:line="240" w:lineRule="auto"/>
        <w:jc w:val="center"/>
      </w:pPr>
      <w:r>
        <w:rPr>
          <w:rFonts w:cs="Open Sans"/>
          <w:b/>
          <w:bCs/>
          <w:sz w:val="28"/>
          <w:szCs w:val="28"/>
        </w:rPr>
        <w:t xml:space="preserve">La información </w:t>
      </w:r>
      <w:r w:rsidRPr="00D202C2">
        <w:rPr>
          <w:rFonts w:cs="Open Sans"/>
          <w:b/>
          <w:bCs/>
          <w:sz w:val="28"/>
          <w:szCs w:val="28"/>
        </w:rPr>
        <w:t>sobre el colectivo de trabajadores s</w:t>
      </w:r>
      <w:r w:rsidR="00D202C2">
        <w:rPr>
          <w:rFonts w:cs="Open Sans"/>
          <w:b/>
          <w:bCs/>
          <w:sz w:val="28"/>
          <w:szCs w:val="28"/>
        </w:rPr>
        <w:t>é</w:t>
      </w:r>
      <w:r w:rsidRPr="00D202C2">
        <w:rPr>
          <w:rFonts w:cs="Open Sans"/>
          <w:b/>
          <w:bCs/>
          <w:sz w:val="28"/>
          <w:szCs w:val="28"/>
        </w:rPr>
        <w:t>nior</w:t>
      </w:r>
      <w:r w:rsidR="00D202C2">
        <w:rPr>
          <w:rFonts w:cs="Open Sans"/>
          <w:b/>
          <w:bCs/>
          <w:sz w:val="28"/>
          <w:szCs w:val="28"/>
        </w:rPr>
        <w:t>,</w:t>
      </w:r>
      <w:r w:rsidRPr="00D202C2">
        <w:rPr>
          <w:rFonts w:cs="Open Sans"/>
          <w:b/>
          <w:bCs/>
          <w:sz w:val="28"/>
          <w:szCs w:val="28"/>
        </w:rPr>
        <w:t xml:space="preserve"> ausente en el reporte no financiero de las empresas del IBEX 35</w:t>
      </w:r>
    </w:p>
    <w:p w14:paraId="29E6E9CB" w14:textId="77777777" w:rsidR="00806775" w:rsidRPr="00D202C2" w:rsidRDefault="00806775">
      <w:pPr>
        <w:rPr>
          <w:rFonts w:cs="Open Sans"/>
          <w:sz w:val="20"/>
          <w:szCs w:val="20"/>
        </w:rPr>
      </w:pPr>
    </w:p>
    <w:p w14:paraId="1AA3EA10" w14:textId="77777777" w:rsidR="00806775" w:rsidRPr="00D202C2" w:rsidRDefault="006743A2">
      <w:pPr>
        <w:pStyle w:val="Prrafodelista"/>
        <w:numPr>
          <w:ilvl w:val="0"/>
          <w:numId w:val="2"/>
        </w:numPr>
      </w:pPr>
      <w:r w:rsidRPr="00D202C2">
        <w:rPr>
          <w:rFonts w:cs="Open Sans"/>
          <w:sz w:val="20"/>
          <w:szCs w:val="20"/>
        </w:rPr>
        <w:t>Mapfre es la única empresa transparente del índice bursátil al informar sobre la gestión de su plantilla sénior.</w:t>
      </w:r>
    </w:p>
    <w:p w14:paraId="1D572F12" w14:textId="77777777" w:rsidR="00806775" w:rsidRPr="00D202C2" w:rsidRDefault="00806775">
      <w:pPr>
        <w:rPr>
          <w:rFonts w:cs="Open Sans"/>
          <w:sz w:val="20"/>
          <w:szCs w:val="20"/>
        </w:rPr>
      </w:pPr>
    </w:p>
    <w:p w14:paraId="34B5956A" w14:textId="39E2F13F" w:rsidR="00806775" w:rsidRPr="00D202C2" w:rsidRDefault="006743A2">
      <w:pPr>
        <w:pStyle w:val="Prrafodelista"/>
        <w:numPr>
          <w:ilvl w:val="0"/>
          <w:numId w:val="2"/>
        </w:numPr>
      </w:pPr>
      <w:r w:rsidRPr="00D202C2">
        <w:rPr>
          <w:rFonts w:cs="Open Sans"/>
          <w:sz w:val="20"/>
          <w:szCs w:val="20"/>
        </w:rPr>
        <w:t>Las empresas del IBEX 35 se estancan en su información sobre el talento s</w:t>
      </w:r>
      <w:r w:rsidR="00D202C2">
        <w:rPr>
          <w:rFonts w:cs="Open Sans"/>
          <w:sz w:val="20"/>
          <w:szCs w:val="20"/>
        </w:rPr>
        <w:t>é</w:t>
      </w:r>
      <w:r w:rsidRPr="00D202C2">
        <w:rPr>
          <w:rFonts w:cs="Open Sans"/>
          <w:sz w:val="20"/>
          <w:szCs w:val="20"/>
        </w:rPr>
        <w:t>nior, tras la mejoría que siguió a la publicación de la Ley sobre información no financiera y diversidad.</w:t>
      </w:r>
    </w:p>
    <w:p w14:paraId="3531CF1D" w14:textId="77777777" w:rsidR="00806775" w:rsidRPr="00D202C2" w:rsidRDefault="00806775">
      <w:pPr>
        <w:rPr>
          <w:rFonts w:cs="Open Sans"/>
          <w:sz w:val="20"/>
          <w:szCs w:val="20"/>
        </w:rPr>
      </w:pPr>
    </w:p>
    <w:p w14:paraId="52E34993" w14:textId="652B8A12" w:rsidR="00806775" w:rsidRPr="00D202C2" w:rsidRDefault="006743A2">
      <w:pPr>
        <w:pStyle w:val="Prrafodelista"/>
        <w:numPr>
          <w:ilvl w:val="0"/>
          <w:numId w:val="1"/>
        </w:numPr>
      </w:pPr>
      <w:r w:rsidRPr="00D202C2">
        <w:rPr>
          <w:rFonts w:cs="Open Sans"/>
          <w:sz w:val="20"/>
          <w:szCs w:val="20"/>
        </w:rPr>
        <w:t xml:space="preserve">El informe incluye un nuevo indicador sobre </w:t>
      </w:r>
      <w:r w:rsidR="00D202C2">
        <w:rPr>
          <w:rFonts w:cs="Open Sans"/>
          <w:sz w:val="20"/>
          <w:szCs w:val="20"/>
        </w:rPr>
        <w:t>‘E</w:t>
      </w:r>
      <w:r w:rsidRPr="00D202C2">
        <w:rPr>
          <w:rFonts w:cs="Open Sans"/>
          <w:sz w:val="20"/>
          <w:szCs w:val="20"/>
        </w:rPr>
        <w:t>quipos multigeneracionales</w:t>
      </w:r>
      <w:r w:rsidR="00D202C2">
        <w:rPr>
          <w:rFonts w:cs="Open Sans"/>
          <w:sz w:val="20"/>
          <w:szCs w:val="20"/>
        </w:rPr>
        <w:t>’</w:t>
      </w:r>
      <w:r w:rsidRPr="00D202C2">
        <w:rPr>
          <w:rFonts w:cs="Open Sans"/>
          <w:sz w:val="20"/>
          <w:szCs w:val="20"/>
        </w:rPr>
        <w:t xml:space="preserve"> con el objetivo de incentivar esta </w:t>
      </w:r>
      <w:r w:rsidR="00D202C2" w:rsidRPr="00D202C2">
        <w:rPr>
          <w:rFonts w:cs="Open Sans"/>
          <w:sz w:val="20"/>
          <w:szCs w:val="20"/>
        </w:rPr>
        <w:t>práctica</w:t>
      </w:r>
      <w:r w:rsidRPr="00D202C2">
        <w:rPr>
          <w:rFonts w:cs="Open Sans"/>
          <w:sz w:val="20"/>
          <w:szCs w:val="20"/>
        </w:rPr>
        <w:t xml:space="preserve"> en las empresas</w:t>
      </w:r>
      <w:r w:rsidR="00D202C2">
        <w:rPr>
          <w:rFonts w:cs="Open Sans"/>
          <w:sz w:val="20"/>
          <w:szCs w:val="20"/>
        </w:rPr>
        <w:t>.</w:t>
      </w:r>
    </w:p>
    <w:p w14:paraId="748A7586" w14:textId="77777777" w:rsidR="00806775" w:rsidRDefault="00806775">
      <w:pPr>
        <w:rPr>
          <w:rFonts w:cs="Open Sans"/>
          <w:sz w:val="22"/>
          <w:szCs w:val="22"/>
        </w:rPr>
      </w:pPr>
    </w:p>
    <w:p w14:paraId="7ECB8FCF" w14:textId="77777777" w:rsidR="00806775" w:rsidRDefault="006743A2">
      <w:r>
        <w:rPr>
          <w:rFonts w:cs="Open Sans"/>
          <w:i/>
          <w:iCs/>
          <w:sz w:val="20"/>
          <w:szCs w:val="20"/>
        </w:rPr>
        <w:t>Madrid, 5 de abril de 2022.</w:t>
      </w:r>
      <w:r>
        <w:rPr>
          <w:rFonts w:cs="Open Sans"/>
          <w:sz w:val="20"/>
          <w:szCs w:val="20"/>
        </w:rPr>
        <w:t xml:space="preserve"> El informe </w:t>
      </w:r>
      <w:r>
        <w:rPr>
          <w:rFonts w:cs="Open Sans"/>
          <w:i/>
          <w:iCs/>
          <w:sz w:val="20"/>
          <w:szCs w:val="20"/>
        </w:rPr>
        <w:t>Carrera y talento sénior 2021,</w:t>
      </w:r>
      <w:r>
        <w:rPr>
          <w:rFonts w:cs="Open Sans"/>
          <w:sz w:val="20"/>
          <w:szCs w:val="20"/>
        </w:rPr>
        <w:t xml:space="preserve"> elaborado por la Fundación Haz (antes Compromiso y Transparencia), examina la </w:t>
      </w:r>
      <w:r>
        <w:rPr>
          <w:rFonts w:cs="Open Sans"/>
          <w:b/>
          <w:bCs/>
          <w:sz w:val="20"/>
          <w:szCs w:val="20"/>
        </w:rPr>
        <w:t>transparencia y buen gobierno sobre la gestión del talento sénior</w:t>
      </w:r>
      <w:r>
        <w:rPr>
          <w:rFonts w:cs="Open Sans"/>
          <w:sz w:val="20"/>
          <w:szCs w:val="20"/>
        </w:rPr>
        <w:t xml:space="preserve"> en las plantillas del IBEX 35.</w:t>
      </w:r>
    </w:p>
    <w:p w14:paraId="6258FB66" w14:textId="77777777" w:rsidR="00806775" w:rsidRDefault="00806775">
      <w:pPr>
        <w:rPr>
          <w:rFonts w:cs="Open Sans"/>
          <w:sz w:val="20"/>
          <w:szCs w:val="20"/>
        </w:rPr>
      </w:pPr>
    </w:p>
    <w:p w14:paraId="0AB153FF" w14:textId="77777777" w:rsidR="00806775" w:rsidRDefault="006743A2">
      <w:r>
        <w:rPr>
          <w:rFonts w:cs="Open Sans"/>
          <w:sz w:val="20"/>
          <w:szCs w:val="20"/>
        </w:rPr>
        <w:t xml:space="preserve">En su cuarta edición, elaborada con la colaboración de la Fundación </w:t>
      </w:r>
      <w:proofErr w:type="spellStart"/>
      <w:r>
        <w:rPr>
          <w:rFonts w:cs="Open Sans"/>
          <w:sz w:val="20"/>
          <w:szCs w:val="20"/>
        </w:rPr>
        <w:t>Knowdle</w:t>
      </w:r>
      <w:proofErr w:type="spellEnd"/>
      <w:r>
        <w:rPr>
          <w:rFonts w:cs="Open Sans"/>
          <w:sz w:val="20"/>
          <w:szCs w:val="20"/>
        </w:rPr>
        <w:t xml:space="preserve"> e Itwillbe.org y disponible en </w:t>
      </w:r>
      <w:hyperlink r:id="rId7">
        <w:r>
          <w:rPr>
            <w:rStyle w:val="EnlacedeInternet"/>
            <w:rFonts w:cs="Open Sans"/>
            <w:sz w:val="20"/>
            <w:szCs w:val="20"/>
          </w:rPr>
          <w:t>www.hazfundacion.org</w:t>
        </w:r>
      </w:hyperlink>
      <w:r>
        <w:rPr>
          <w:rFonts w:cs="Open Sans"/>
          <w:sz w:val="20"/>
          <w:szCs w:val="20"/>
        </w:rPr>
        <w:t>, el análisis muestra un estancamiento en la información publicada por las empresas del índice, tras los últimos años de crecimiento del reporte sobre esta materia impulsados por Ley sobre información no financiera y diversidad.</w:t>
      </w:r>
    </w:p>
    <w:p w14:paraId="4FF00C3E" w14:textId="77777777" w:rsidR="00806775" w:rsidRDefault="00806775">
      <w:pPr>
        <w:rPr>
          <w:rFonts w:cs="Open Sans"/>
          <w:sz w:val="20"/>
          <w:szCs w:val="20"/>
        </w:rPr>
      </w:pPr>
    </w:p>
    <w:p w14:paraId="47127F9D" w14:textId="77777777" w:rsidR="00806775" w:rsidRDefault="006743A2">
      <w:r>
        <w:rPr>
          <w:rFonts w:cs="Open Sans"/>
          <w:sz w:val="20"/>
          <w:szCs w:val="20"/>
        </w:rPr>
        <w:t xml:space="preserve">Muestra de ello es que solo una compañía, </w:t>
      </w:r>
      <w:r>
        <w:rPr>
          <w:rFonts w:cs="Open Sans"/>
          <w:b/>
          <w:bCs/>
          <w:sz w:val="20"/>
          <w:szCs w:val="20"/>
        </w:rPr>
        <w:t xml:space="preserve">Mapfre, </w:t>
      </w:r>
      <w:r>
        <w:rPr>
          <w:rFonts w:cs="Open Sans"/>
          <w:sz w:val="20"/>
          <w:szCs w:val="20"/>
        </w:rPr>
        <w:t xml:space="preserve">logra el calificativo de </w:t>
      </w:r>
      <w:r>
        <w:rPr>
          <w:rFonts w:cs="Open Sans"/>
          <w:i/>
          <w:iCs/>
          <w:sz w:val="20"/>
          <w:szCs w:val="20"/>
        </w:rPr>
        <w:t>transparente</w:t>
      </w:r>
      <w:r>
        <w:rPr>
          <w:rFonts w:cs="Open Sans"/>
          <w:sz w:val="20"/>
          <w:szCs w:val="20"/>
        </w:rPr>
        <w:t xml:space="preserve">, obteniendo 18 puntos de los 30 posibles. La aseguradora ha mostrado sensibilidad en el colectivo sénior poniendo en marcha en 2020 el </w:t>
      </w:r>
      <w:r>
        <w:rPr>
          <w:rFonts w:cs="Open Sans"/>
          <w:i/>
          <w:iCs/>
          <w:sz w:val="20"/>
          <w:szCs w:val="20"/>
        </w:rPr>
        <w:t xml:space="preserve">Proyecto </w:t>
      </w:r>
      <w:proofErr w:type="spellStart"/>
      <w:r>
        <w:rPr>
          <w:rFonts w:cs="Open Sans"/>
          <w:i/>
          <w:iCs/>
          <w:sz w:val="20"/>
          <w:szCs w:val="20"/>
        </w:rPr>
        <w:t>Ageing</w:t>
      </w:r>
      <w:proofErr w:type="spellEnd"/>
      <w:r>
        <w:rPr>
          <w:rFonts w:cs="Open Sans"/>
          <w:sz w:val="20"/>
          <w:szCs w:val="20"/>
        </w:rPr>
        <w:t xml:space="preserve"> con el objetivo de favorecer un entorno laboral para personas de mayor edad y elaborando en 2021 el </w:t>
      </w:r>
      <w:r>
        <w:rPr>
          <w:rFonts w:cs="Open Sans"/>
          <w:i/>
          <w:iCs/>
          <w:sz w:val="20"/>
          <w:szCs w:val="20"/>
        </w:rPr>
        <w:t>Mapa de Talento Sénior,</w:t>
      </w:r>
      <w:r>
        <w:rPr>
          <w:rFonts w:cs="Open Sans"/>
          <w:sz w:val="20"/>
          <w:szCs w:val="20"/>
        </w:rPr>
        <w:t xml:space="preserve"> una radiografía de la situación laboral de los mayores de 55 años en España. </w:t>
      </w:r>
    </w:p>
    <w:p w14:paraId="2BB682C0" w14:textId="77777777" w:rsidR="00806775" w:rsidRDefault="00806775">
      <w:pPr>
        <w:rPr>
          <w:rFonts w:cs="Open Sans"/>
          <w:sz w:val="20"/>
          <w:szCs w:val="20"/>
        </w:rPr>
      </w:pPr>
    </w:p>
    <w:p w14:paraId="13C2DBFD" w14:textId="00A8AA85" w:rsidR="00806775" w:rsidRDefault="006743A2">
      <w:r>
        <w:rPr>
          <w:rFonts w:cs="Open Sans"/>
          <w:sz w:val="20"/>
          <w:szCs w:val="20"/>
        </w:rPr>
        <w:t xml:space="preserve">Como suele ser habitual en otros informes de la Fundación Haz, aquellas compañías que se han incorporado recientemente al IBEX 35 </w:t>
      </w:r>
      <w:r w:rsidR="00D202C2">
        <w:rPr>
          <w:rFonts w:cs="Open Sans"/>
          <w:sz w:val="20"/>
          <w:szCs w:val="20"/>
        </w:rPr>
        <w:t>tienden a</w:t>
      </w:r>
      <w:r>
        <w:rPr>
          <w:rFonts w:cs="Open Sans"/>
          <w:sz w:val="20"/>
          <w:szCs w:val="20"/>
        </w:rPr>
        <w:t xml:space="preserve"> situarse en los últimos puestos del ranking “al estar menos acostumbradas a los niveles de rendición de cuentas de las </w:t>
      </w:r>
      <w:r w:rsidR="00D202C2">
        <w:rPr>
          <w:rFonts w:cs="Open Sans"/>
          <w:sz w:val="20"/>
          <w:szCs w:val="20"/>
        </w:rPr>
        <w:t>empresas</w:t>
      </w:r>
      <w:r>
        <w:rPr>
          <w:rFonts w:cs="Open Sans"/>
          <w:sz w:val="20"/>
          <w:szCs w:val="20"/>
        </w:rPr>
        <w:t xml:space="preserve"> tradicionales”, explica el documento. Ocupan los puestos más bajos del ranking </w:t>
      </w:r>
      <w:r>
        <w:rPr>
          <w:rFonts w:cs="Open Sans"/>
          <w:b/>
          <w:bCs/>
          <w:sz w:val="20"/>
          <w:szCs w:val="20"/>
        </w:rPr>
        <w:t xml:space="preserve">Almirall, </w:t>
      </w:r>
      <w:proofErr w:type="spellStart"/>
      <w:r>
        <w:rPr>
          <w:rFonts w:cs="Open Sans"/>
          <w:b/>
          <w:bCs/>
          <w:sz w:val="20"/>
          <w:szCs w:val="20"/>
        </w:rPr>
        <w:t>Merlin</w:t>
      </w:r>
      <w:proofErr w:type="spellEnd"/>
      <w:r>
        <w:rPr>
          <w:rFonts w:cs="Open Sans"/>
          <w:b/>
          <w:bCs/>
          <w:sz w:val="20"/>
          <w:szCs w:val="20"/>
        </w:rPr>
        <w:t xml:space="preserve"> </w:t>
      </w:r>
      <w:proofErr w:type="spellStart"/>
      <w:r>
        <w:rPr>
          <w:rFonts w:cs="Open Sans"/>
          <w:b/>
          <w:bCs/>
          <w:sz w:val="20"/>
          <w:szCs w:val="20"/>
        </w:rPr>
        <w:t>Properties</w:t>
      </w:r>
      <w:proofErr w:type="spellEnd"/>
      <w:r>
        <w:rPr>
          <w:rFonts w:cs="Open Sans"/>
          <w:b/>
          <w:bCs/>
          <w:sz w:val="20"/>
          <w:szCs w:val="20"/>
        </w:rPr>
        <w:t xml:space="preserve"> y </w:t>
      </w:r>
      <w:proofErr w:type="spellStart"/>
      <w:r>
        <w:rPr>
          <w:rFonts w:cs="Open Sans"/>
          <w:b/>
          <w:bCs/>
          <w:sz w:val="20"/>
          <w:szCs w:val="20"/>
        </w:rPr>
        <w:t>Fluidra</w:t>
      </w:r>
      <w:proofErr w:type="spellEnd"/>
      <w:r>
        <w:rPr>
          <w:rFonts w:cs="Open Sans"/>
          <w:b/>
          <w:bCs/>
          <w:sz w:val="20"/>
          <w:szCs w:val="20"/>
        </w:rPr>
        <w:t>.</w:t>
      </w:r>
    </w:p>
    <w:p w14:paraId="357E4364" w14:textId="77777777" w:rsidR="00806775" w:rsidRDefault="00806775">
      <w:pPr>
        <w:rPr>
          <w:rFonts w:cs="Open Sans"/>
          <w:sz w:val="20"/>
          <w:szCs w:val="20"/>
        </w:rPr>
      </w:pPr>
    </w:p>
    <w:p w14:paraId="47EC1BEF" w14:textId="77777777" w:rsidR="00806775" w:rsidRDefault="006743A2">
      <w:r>
        <w:rPr>
          <w:rFonts w:cs="Open Sans"/>
          <w:b/>
          <w:bCs/>
          <w:sz w:val="20"/>
          <w:szCs w:val="20"/>
        </w:rPr>
        <w:t>Avance lento</w:t>
      </w:r>
    </w:p>
    <w:p w14:paraId="47F87A0A" w14:textId="77777777" w:rsidR="00806775" w:rsidRDefault="006743A2">
      <w:r>
        <w:rPr>
          <w:rFonts w:cs="Open Sans"/>
          <w:sz w:val="20"/>
          <w:szCs w:val="20"/>
        </w:rPr>
        <w:t xml:space="preserve">Otro de los indicios de la parálisis en la rendición de cuentas sobre la gestión del talento sénior es que solo hay un indicador que publican todas las compañías de la </w:t>
      </w:r>
      <w:r>
        <w:rPr>
          <w:rFonts w:cs="Open Sans"/>
          <w:sz w:val="20"/>
          <w:szCs w:val="20"/>
        </w:rPr>
        <w:lastRenderedPageBreak/>
        <w:t xml:space="preserve">muestra, en menor o mayor detalle (el 83% cumple parcialmente y el 17% totalmente): la </w:t>
      </w:r>
      <w:r>
        <w:rPr>
          <w:rFonts w:cs="Open Sans"/>
          <w:b/>
          <w:bCs/>
          <w:sz w:val="20"/>
          <w:szCs w:val="20"/>
        </w:rPr>
        <w:t>segmentación de la plantilla por franjas de edad.</w:t>
      </w:r>
      <w:r>
        <w:rPr>
          <w:rFonts w:cs="Open Sans"/>
          <w:sz w:val="20"/>
          <w:szCs w:val="20"/>
        </w:rPr>
        <w:t xml:space="preserve"> De hecho, el informe sigue recomendando “mejorar la segmentación con bandas más estrechas, especialmente en las edades más altas”.</w:t>
      </w:r>
    </w:p>
    <w:p w14:paraId="226E9FC9" w14:textId="77777777" w:rsidR="00806775" w:rsidRDefault="00806775">
      <w:pPr>
        <w:rPr>
          <w:rFonts w:cs="Open Sans"/>
          <w:sz w:val="20"/>
          <w:szCs w:val="20"/>
        </w:rPr>
      </w:pPr>
    </w:p>
    <w:p w14:paraId="08F4A6CF" w14:textId="77777777" w:rsidR="00806775" w:rsidRDefault="006743A2">
      <w:r>
        <w:rPr>
          <w:rFonts w:cs="Open Sans"/>
          <w:sz w:val="20"/>
          <w:szCs w:val="20"/>
        </w:rPr>
        <w:t xml:space="preserve">El área de </w:t>
      </w:r>
      <w:r>
        <w:rPr>
          <w:rFonts w:cs="Open Sans"/>
          <w:b/>
          <w:bCs/>
          <w:i/>
          <w:iCs/>
          <w:sz w:val="20"/>
          <w:szCs w:val="20"/>
        </w:rPr>
        <w:t>Diversidad y no discriminación</w:t>
      </w:r>
      <w:r>
        <w:rPr>
          <w:rFonts w:cs="Open Sans"/>
          <w:sz w:val="20"/>
          <w:szCs w:val="20"/>
        </w:rPr>
        <w:t xml:space="preserve">, que analiza la existencia en las compañías de políticas que contemplen la igualdad por razón de edad, medidas para evitar sesgos en los procesos de selección o la discriminación en las actividades formativas, presenta un crecimiento constante en las cuatro ediciones del documento, alcanzado el 40% de cumplimiento. Este aumento está impulsado por los indicadores de </w:t>
      </w:r>
      <w:r>
        <w:rPr>
          <w:rFonts w:cs="Open Sans"/>
          <w:i/>
          <w:iCs/>
          <w:sz w:val="20"/>
          <w:szCs w:val="20"/>
        </w:rPr>
        <w:t>Contratación y selección</w:t>
      </w:r>
      <w:r>
        <w:rPr>
          <w:rFonts w:cs="Open Sans"/>
          <w:sz w:val="20"/>
          <w:szCs w:val="20"/>
        </w:rPr>
        <w:t xml:space="preserve"> y </w:t>
      </w:r>
      <w:r>
        <w:rPr>
          <w:rFonts w:cs="Open Sans"/>
          <w:i/>
          <w:iCs/>
          <w:sz w:val="20"/>
          <w:szCs w:val="20"/>
        </w:rPr>
        <w:t>Formación</w:t>
      </w:r>
      <w:r>
        <w:rPr>
          <w:rFonts w:cs="Open Sans"/>
          <w:sz w:val="20"/>
          <w:szCs w:val="20"/>
        </w:rPr>
        <w:t xml:space="preserve"> que, aunque muestran todavía cifras bajas (31% y 12% de cumplimiento, respectivamente), han ido creciendo año tras año. Por el contrario, el indicador de esta área de </w:t>
      </w:r>
      <w:r>
        <w:rPr>
          <w:rFonts w:cs="Open Sans"/>
          <w:i/>
          <w:iCs/>
          <w:sz w:val="20"/>
          <w:szCs w:val="20"/>
        </w:rPr>
        <w:t>Diversidad generacional</w:t>
      </w:r>
      <w:r>
        <w:rPr>
          <w:rFonts w:cs="Open Sans"/>
          <w:sz w:val="20"/>
          <w:szCs w:val="20"/>
        </w:rPr>
        <w:t xml:space="preserve"> parece haber alcanzado ya su techo (77%).</w:t>
      </w:r>
    </w:p>
    <w:p w14:paraId="2CAFFCF0" w14:textId="77777777" w:rsidR="00806775" w:rsidRDefault="00806775">
      <w:pPr>
        <w:rPr>
          <w:rFonts w:cs="Open Sans"/>
          <w:sz w:val="20"/>
          <w:szCs w:val="20"/>
        </w:rPr>
      </w:pPr>
    </w:p>
    <w:p w14:paraId="76873D54" w14:textId="77777777" w:rsidR="00806775" w:rsidRDefault="006743A2">
      <w:r>
        <w:rPr>
          <w:rFonts w:cs="Open Sans"/>
          <w:sz w:val="20"/>
          <w:szCs w:val="20"/>
        </w:rPr>
        <w:t xml:space="preserve">Por otro lado, en el área de </w:t>
      </w:r>
      <w:r>
        <w:rPr>
          <w:rFonts w:cs="Open Sans"/>
          <w:b/>
          <w:bCs/>
          <w:i/>
          <w:iCs/>
          <w:sz w:val="20"/>
          <w:szCs w:val="20"/>
        </w:rPr>
        <w:t>Investigación,</w:t>
      </w:r>
      <w:r>
        <w:rPr>
          <w:rFonts w:cs="Open Sans"/>
          <w:sz w:val="20"/>
          <w:szCs w:val="20"/>
        </w:rPr>
        <w:t xml:space="preserve"> que tiene en cuenta la participación de las empresas en las principales iniciativas y proyectos relacionados con el análisis de la gestión de la diversidad generacional</w:t>
      </w:r>
      <w:r>
        <w:rPr>
          <w:rFonts w:cs="Open Sans"/>
          <w:i/>
          <w:iCs/>
          <w:sz w:val="20"/>
          <w:szCs w:val="20"/>
        </w:rPr>
        <w:t>,</w:t>
      </w:r>
      <w:r>
        <w:rPr>
          <w:rFonts w:cs="Open Sans"/>
          <w:sz w:val="20"/>
          <w:szCs w:val="20"/>
        </w:rPr>
        <w:t xml:space="preserve"> las cifras descienden ligeramente (de un 20% al 14% actual). </w:t>
      </w:r>
    </w:p>
    <w:p w14:paraId="3D48BDEC" w14:textId="77777777" w:rsidR="00806775" w:rsidRDefault="00806775">
      <w:pPr>
        <w:rPr>
          <w:rFonts w:cs="Open Sans"/>
          <w:sz w:val="20"/>
          <w:szCs w:val="20"/>
        </w:rPr>
      </w:pPr>
    </w:p>
    <w:p w14:paraId="2AAACAB2" w14:textId="674CC377" w:rsidR="00806775" w:rsidRDefault="006743A2">
      <w:r>
        <w:rPr>
          <w:rFonts w:cs="Open Sans"/>
          <w:sz w:val="20"/>
          <w:szCs w:val="20"/>
        </w:rPr>
        <w:t xml:space="preserve">Finalmente, el área denominada </w:t>
      </w:r>
      <w:r>
        <w:rPr>
          <w:rFonts w:cs="Open Sans"/>
          <w:b/>
          <w:bCs/>
          <w:i/>
          <w:iCs/>
          <w:sz w:val="20"/>
          <w:szCs w:val="20"/>
        </w:rPr>
        <w:t>Antes del cambio de etapa</w:t>
      </w:r>
      <w:r>
        <w:rPr>
          <w:rFonts w:cs="Open Sans"/>
          <w:sz w:val="20"/>
          <w:szCs w:val="20"/>
        </w:rPr>
        <w:t xml:space="preserve"> presenta unos valores de cumplimiento similares a los de la tercera edición (16%). Esta </w:t>
      </w:r>
      <w:r w:rsidR="00D202C2">
        <w:rPr>
          <w:rFonts w:cs="Open Sans"/>
          <w:sz w:val="20"/>
          <w:szCs w:val="20"/>
        </w:rPr>
        <w:t xml:space="preserve">sección </w:t>
      </w:r>
      <w:proofErr w:type="spellStart"/>
      <w:r w:rsidR="00D202C2">
        <w:rPr>
          <w:rFonts w:cs="Open Sans"/>
          <w:sz w:val="20"/>
          <w:szCs w:val="20"/>
        </w:rPr>
        <w:t>que</w:t>
      </w:r>
      <w:r>
        <w:rPr>
          <w:rFonts w:cs="Open Sans"/>
          <w:sz w:val="20"/>
          <w:szCs w:val="20"/>
        </w:rPr>
        <w:t>e</w:t>
      </w:r>
      <w:proofErr w:type="spellEnd"/>
      <w:r>
        <w:rPr>
          <w:rFonts w:cs="Open Sans"/>
          <w:sz w:val="20"/>
          <w:szCs w:val="20"/>
        </w:rPr>
        <w:t xml:space="preserve"> examina aspectos como si las compañías abordan de forma integral el envejecimiento de su plantilla; si promueven la salud y seguridad laboral de los </w:t>
      </w:r>
      <w:proofErr w:type="spellStart"/>
      <w:r>
        <w:rPr>
          <w:rFonts w:cs="Open Sans"/>
          <w:sz w:val="20"/>
          <w:szCs w:val="20"/>
        </w:rPr>
        <w:t>séniors</w:t>
      </w:r>
      <w:proofErr w:type="spellEnd"/>
      <w:r>
        <w:rPr>
          <w:rFonts w:cs="Open Sans"/>
          <w:sz w:val="20"/>
          <w:szCs w:val="20"/>
        </w:rPr>
        <w:t xml:space="preserve">; si poseen prácticas para garantizar la retención del conocimiento; si preparan al trabajador para la jubilación, o si, en caso de reestructuración de plantillas, informan sobre las condiciones y los colectivos afectados, añade este año un nuevo indicador: </w:t>
      </w:r>
      <w:r>
        <w:rPr>
          <w:rFonts w:cs="Open Sans"/>
          <w:b/>
          <w:bCs/>
          <w:i/>
          <w:iCs/>
          <w:sz w:val="20"/>
          <w:szCs w:val="20"/>
        </w:rPr>
        <w:t>Equipos multigeneracionales.</w:t>
      </w:r>
    </w:p>
    <w:p w14:paraId="752EDED6" w14:textId="77777777" w:rsidR="00806775" w:rsidRDefault="00806775">
      <w:pPr>
        <w:rPr>
          <w:rFonts w:cs="Open Sans"/>
          <w:sz w:val="20"/>
          <w:szCs w:val="20"/>
        </w:rPr>
      </w:pPr>
    </w:p>
    <w:p w14:paraId="22279F38" w14:textId="77777777" w:rsidR="00806775" w:rsidRDefault="006743A2">
      <w:r>
        <w:rPr>
          <w:rFonts w:cs="Open Sans"/>
          <w:sz w:val="20"/>
          <w:szCs w:val="20"/>
        </w:rPr>
        <w:t xml:space="preserve">“La convivencia actual de varias generaciones en las plantillas de las empresas, además de una realidad marcada por la pirámide poblacional, implica una oportunidad y a la vez un desafío para las organizaciones. Incluyendo este indicador queremos incentivar esta práctica, que han ido incorporando gradualmente algunas empresas, que está ayudando a visibilizar internamente el valor de la diversidad generacional”, explica Javier Martín Cavanna, coautor de </w:t>
      </w:r>
      <w:r>
        <w:rPr>
          <w:rFonts w:cs="Open Sans"/>
          <w:i/>
          <w:iCs/>
          <w:sz w:val="20"/>
          <w:szCs w:val="20"/>
        </w:rPr>
        <w:t>Carrera y talento sénior 2021.</w:t>
      </w:r>
    </w:p>
    <w:p w14:paraId="6513FB56" w14:textId="77777777" w:rsidR="00806775" w:rsidRDefault="00806775">
      <w:pPr>
        <w:rPr>
          <w:rFonts w:cs="Open Sans"/>
          <w:sz w:val="20"/>
          <w:szCs w:val="20"/>
        </w:rPr>
      </w:pPr>
    </w:p>
    <w:p w14:paraId="4A9E03D5" w14:textId="72C04D4E" w:rsidR="00806775" w:rsidRDefault="006743A2">
      <w:pPr>
        <w:rPr>
          <w:rFonts w:cs="Open Sans"/>
          <w:sz w:val="20"/>
          <w:szCs w:val="20"/>
        </w:rPr>
      </w:pPr>
      <w:r>
        <w:rPr>
          <w:rFonts w:cs="Open Sans"/>
          <w:sz w:val="20"/>
          <w:szCs w:val="20"/>
        </w:rPr>
        <w:t xml:space="preserve">Como resumen, Martín Cavanna y José Miguel Roca Chillida, responsable de la Fundación </w:t>
      </w:r>
      <w:proofErr w:type="spellStart"/>
      <w:r>
        <w:rPr>
          <w:rFonts w:cs="Open Sans"/>
          <w:sz w:val="20"/>
          <w:szCs w:val="20"/>
        </w:rPr>
        <w:t>Knowdle</w:t>
      </w:r>
      <w:proofErr w:type="spellEnd"/>
      <w:r>
        <w:rPr>
          <w:rFonts w:cs="Open Sans"/>
          <w:sz w:val="20"/>
          <w:szCs w:val="20"/>
        </w:rPr>
        <w:t xml:space="preserve"> y coautor del informe, afirman que “salvo algunas excepciones, no se aprecia una tendencia al incremento de la información y de la transparencia en estos temas. Esta situación sugiere que muchas de las prácticas que llevan a cabo las empresas pueden ser acciones aisladas que no han pasado a formar parte de una política ya consolidada. También es un síntoma de que la </w:t>
      </w:r>
      <w:r>
        <w:rPr>
          <w:rFonts w:cs="Open Sans"/>
          <w:b/>
          <w:bCs/>
          <w:sz w:val="20"/>
          <w:szCs w:val="20"/>
        </w:rPr>
        <w:t>gestión del talento sénior no constituye en la actualidad y de forma global una prioridad</w:t>
      </w:r>
      <w:r>
        <w:rPr>
          <w:rFonts w:cs="Open Sans"/>
          <w:sz w:val="20"/>
          <w:szCs w:val="20"/>
        </w:rPr>
        <w:t xml:space="preserve"> por parte de la </w:t>
      </w:r>
      <w:r>
        <w:rPr>
          <w:rFonts w:cs="Open Sans"/>
          <w:sz w:val="20"/>
          <w:szCs w:val="20"/>
        </w:rPr>
        <w:lastRenderedPageBreak/>
        <w:t xml:space="preserve">empresa a la hora de informar, a diferencia de lo que ocurre, por ejemplo, con las cuestiones de diversidad de género, que siguen ocupando una gran atención”. </w:t>
      </w:r>
    </w:p>
    <w:p w14:paraId="5662AC4F" w14:textId="22794006" w:rsidR="000C15B0" w:rsidRDefault="000C15B0">
      <w:pPr>
        <w:rPr>
          <w:rFonts w:cs="Open Sans"/>
          <w:sz w:val="20"/>
          <w:szCs w:val="20"/>
        </w:rPr>
      </w:pPr>
    </w:p>
    <w:p w14:paraId="2099DA2F" w14:textId="059C15A2" w:rsidR="000C15B0" w:rsidRPr="000C15B0" w:rsidRDefault="000C15B0">
      <w:pPr>
        <w:rPr>
          <w:rFonts w:cs="Open Sans"/>
          <w:b/>
          <w:bCs/>
          <w:sz w:val="20"/>
          <w:szCs w:val="20"/>
        </w:rPr>
      </w:pPr>
      <w:r w:rsidRPr="000C15B0">
        <w:rPr>
          <w:rFonts w:cs="Open Sans"/>
          <w:b/>
          <w:bCs/>
          <w:sz w:val="20"/>
          <w:szCs w:val="20"/>
        </w:rPr>
        <w:t>Decálogo para las empresas</w:t>
      </w:r>
    </w:p>
    <w:p w14:paraId="74119ADB" w14:textId="626EAAF5" w:rsidR="000C15B0" w:rsidRDefault="000C15B0">
      <w:pPr>
        <w:rPr>
          <w:rFonts w:cs="Open Sans"/>
          <w:sz w:val="20"/>
          <w:szCs w:val="20"/>
        </w:rPr>
      </w:pPr>
    </w:p>
    <w:p w14:paraId="4AA16C51" w14:textId="0C64D8D8" w:rsidR="000C15B0" w:rsidRDefault="000C15B0">
      <w:pPr>
        <w:rPr>
          <w:rFonts w:cs="Open Sans"/>
          <w:sz w:val="20"/>
          <w:szCs w:val="20"/>
        </w:rPr>
      </w:pPr>
      <w:r>
        <w:rPr>
          <w:rFonts w:cs="Open Sans"/>
          <w:sz w:val="20"/>
          <w:szCs w:val="20"/>
        </w:rPr>
        <w:t xml:space="preserve">La Fundación Haz ha elaborado un decálogo de recomendaciones para las empresas del IBEX 35 con el objetivo de mejorar la gestión del talento de los empleados sénior. </w:t>
      </w:r>
    </w:p>
    <w:p w14:paraId="3C857CF6" w14:textId="6817CC7F" w:rsidR="000C15B0" w:rsidRDefault="000C15B0">
      <w:pPr>
        <w:rPr>
          <w:rFonts w:cs="Open Sans"/>
          <w:sz w:val="20"/>
          <w:szCs w:val="20"/>
        </w:rPr>
      </w:pPr>
    </w:p>
    <w:p w14:paraId="4D644B0D" w14:textId="04A45918" w:rsidR="000C15B0" w:rsidRPr="000C15B0" w:rsidRDefault="000C15B0" w:rsidP="00190E42">
      <w:pPr>
        <w:numPr>
          <w:ilvl w:val="0"/>
          <w:numId w:val="4"/>
        </w:numPr>
        <w:rPr>
          <w:rFonts w:cs="Open Sans"/>
          <w:sz w:val="20"/>
          <w:szCs w:val="20"/>
        </w:rPr>
      </w:pPr>
      <w:r w:rsidRPr="000C15B0">
        <w:rPr>
          <w:rFonts w:cs="Open Sans"/>
          <w:sz w:val="20"/>
          <w:szCs w:val="20"/>
        </w:rPr>
        <w:t>Desarrollar una</w:t>
      </w:r>
      <w:r w:rsidRPr="000C15B0">
        <w:rPr>
          <w:rFonts w:cs="Open Sans"/>
          <w:b/>
          <w:bCs/>
          <w:sz w:val="20"/>
          <w:szCs w:val="20"/>
        </w:rPr>
        <w:t xml:space="preserve"> estrategia específica para gestionar y aprovechar el talento sénior en las compañías</w:t>
      </w:r>
      <w:r w:rsidRPr="000C15B0">
        <w:rPr>
          <w:rFonts w:cs="Open Sans"/>
          <w:sz w:val="20"/>
          <w:szCs w:val="20"/>
        </w:rPr>
        <w:t>, dada su amplia presencia en estas</w:t>
      </w:r>
      <w:r w:rsidRPr="000C15B0">
        <w:rPr>
          <w:rFonts w:cs="Open Sans"/>
          <w:sz w:val="20"/>
          <w:szCs w:val="20"/>
        </w:rPr>
        <w:t xml:space="preserve">: </w:t>
      </w:r>
      <w:r>
        <w:rPr>
          <w:rFonts w:cs="Open Sans"/>
          <w:sz w:val="20"/>
          <w:szCs w:val="20"/>
        </w:rPr>
        <w:t>u</w:t>
      </w:r>
      <w:r w:rsidRPr="000C15B0">
        <w:rPr>
          <w:rFonts w:cs="Open Sans"/>
          <w:sz w:val="20"/>
          <w:szCs w:val="20"/>
        </w:rPr>
        <w:t xml:space="preserve">na de cada cinco empresas tiene al menos un 40% de empleados de 50 o más años. </w:t>
      </w:r>
    </w:p>
    <w:p w14:paraId="1BA0129C" w14:textId="77777777" w:rsidR="000C15B0" w:rsidRPr="000C15B0" w:rsidRDefault="000C15B0" w:rsidP="000C15B0">
      <w:pPr>
        <w:numPr>
          <w:ilvl w:val="0"/>
          <w:numId w:val="4"/>
        </w:numPr>
        <w:rPr>
          <w:rFonts w:cs="Open Sans"/>
          <w:sz w:val="20"/>
          <w:szCs w:val="20"/>
        </w:rPr>
      </w:pPr>
      <w:r w:rsidRPr="000C15B0">
        <w:rPr>
          <w:rFonts w:cs="Open Sans"/>
          <w:sz w:val="20"/>
          <w:szCs w:val="20"/>
        </w:rPr>
        <w:t>Establecer</w:t>
      </w:r>
      <w:r w:rsidRPr="000C15B0">
        <w:rPr>
          <w:rFonts w:cs="Open Sans"/>
          <w:sz w:val="20"/>
          <w:szCs w:val="20"/>
          <w:lang w:val="es-ES_tradnl"/>
        </w:rPr>
        <w:t xml:space="preserve"> planes y estrategias que hagan frente al </w:t>
      </w:r>
      <w:r w:rsidRPr="000C15B0">
        <w:rPr>
          <w:rFonts w:cs="Open Sans"/>
          <w:b/>
          <w:bCs/>
          <w:sz w:val="20"/>
          <w:szCs w:val="20"/>
          <w:lang w:val="es-ES_tradnl"/>
        </w:rPr>
        <w:t xml:space="preserve">envejecimiento de las plantillas </w:t>
      </w:r>
      <w:r w:rsidRPr="000C15B0">
        <w:rPr>
          <w:rFonts w:cs="Open Sans"/>
          <w:sz w:val="20"/>
          <w:szCs w:val="20"/>
          <w:lang w:val="es-ES_tradnl"/>
        </w:rPr>
        <w:t xml:space="preserve">y al retraso en la edad de jubilación. </w:t>
      </w:r>
    </w:p>
    <w:p w14:paraId="66F698D3" w14:textId="77777777" w:rsidR="000C15B0" w:rsidRPr="000C15B0" w:rsidRDefault="000C15B0" w:rsidP="000C15B0">
      <w:pPr>
        <w:numPr>
          <w:ilvl w:val="0"/>
          <w:numId w:val="4"/>
        </w:numPr>
        <w:rPr>
          <w:rFonts w:cs="Open Sans"/>
          <w:sz w:val="20"/>
          <w:szCs w:val="20"/>
        </w:rPr>
      </w:pPr>
      <w:r w:rsidRPr="000C15B0">
        <w:rPr>
          <w:rFonts w:cs="Open Sans"/>
          <w:sz w:val="20"/>
          <w:szCs w:val="20"/>
          <w:lang w:val="es-ES_tradnl"/>
        </w:rPr>
        <w:t xml:space="preserve">Impulsar la </w:t>
      </w:r>
      <w:r w:rsidRPr="000C15B0">
        <w:rPr>
          <w:rFonts w:cs="Open Sans"/>
          <w:b/>
          <w:bCs/>
          <w:sz w:val="20"/>
          <w:szCs w:val="20"/>
          <w:lang w:val="es-ES_tradnl"/>
        </w:rPr>
        <w:t xml:space="preserve">puesta en marcha de equipos multigeneracionales </w:t>
      </w:r>
      <w:r w:rsidRPr="000C15B0">
        <w:rPr>
          <w:rFonts w:cs="Open Sans"/>
          <w:sz w:val="20"/>
          <w:szCs w:val="20"/>
          <w:lang w:val="es-ES_tradnl"/>
        </w:rPr>
        <w:t>para la realización de proyectos y actuaciones concretas.</w:t>
      </w:r>
    </w:p>
    <w:p w14:paraId="1D51D2A9" w14:textId="355A58C8" w:rsidR="000C15B0" w:rsidRPr="000C15B0" w:rsidRDefault="000C15B0" w:rsidP="000C15B0">
      <w:pPr>
        <w:numPr>
          <w:ilvl w:val="0"/>
          <w:numId w:val="4"/>
        </w:numPr>
        <w:rPr>
          <w:rFonts w:cs="Open Sans"/>
          <w:sz w:val="20"/>
          <w:szCs w:val="20"/>
        </w:rPr>
      </w:pPr>
      <w:r w:rsidRPr="000C15B0">
        <w:rPr>
          <w:rFonts w:cs="Open Sans"/>
          <w:sz w:val="20"/>
          <w:szCs w:val="20"/>
        </w:rPr>
        <w:t xml:space="preserve">Incluir explícitamente en sus políticas la </w:t>
      </w:r>
      <w:r w:rsidRPr="000C15B0">
        <w:rPr>
          <w:rFonts w:cs="Open Sans"/>
          <w:b/>
          <w:bCs/>
          <w:sz w:val="20"/>
          <w:szCs w:val="20"/>
        </w:rPr>
        <w:t>no discriminación en los procesos de selección, promoción y formación</w:t>
      </w:r>
      <w:r w:rsidRPr="000C15B0">
        <w:rPr>
          <w:rFonts w:cs="Open Sans"/>
          <w:sz w:val="20"/>
          <w:szCs w:val="20"/>
        </w:rPr>
        <w:t xml:space="preserve"> del talento sénior. </w:t>
      </w:r>
    </w:p>
    <w:p w14:paraId="670B6878" w14:textId="77777777" w:rsidR="000C15B0" w:rsidRPr="000C15B0" w:rsidRDefault="000C15B0" w:rsidP="000C15B0">
      <w:pPr>
        <w:numPr>
          <w:ilvl w:val="0"/>
          <w:numId w:val="4"/>
        </w:numPr>
        <w:rPr>
          <w:rFonts w:cs="Open Sans"/>
          <w:sz w:val="20"/>
          <w:szCs w:val="20"/>
        </w:rPr>
      </w:pPr>
      <w:r w:rsidRPr="000C15B0">
        <w:rPr>
          <w:rFonts w:cs="Open Sans"/>
          <w:sz w:val="20"/>
          <w:szCs w:val="20"/>
        </w:rPr>
        <w:t xml:space="preserve">Preparar a sus empleados sénior para la </w:t>
      </w:r>
      <w:r w:rsidRPr="000C15B0">
        <w:rPr>
          <w:rFonts w:cs="Open Sans"/>
          <w:b/>
          <w:bCs/>
          <w:sz w:val="20"/>
          <w:szCs w:val="20"/>
        </w:rPr>
        <w:t>prejubilación o jubilación</w:t>
      </w:r>
      <w:r w:rsidRPr="000C15B0">
        <w:rPr>
          <w:rFonts w:cs="Open Sans"/>
          <w:sz w:val="20"/>
          <w:szCs w:val="20"/>
        </w:rPr>
        <w:t xml:space="preserve"> y ayudar a suavizar el cambio de etapa.</w:t>
      </w:r>
    </w:p>
    <w:p w14:paraId="4F2D9E67" w14:textId="77777777" w:rsidR="000C15B0" w:rsidRPr="000C15B0" w:rsidRDefault="000C15B0" w:rsidP="000C15B0">
      <w:pPr>
        <w:numPr>
          <w:ilvl w:val="0"/>
          <w:numId w:val="4"/>
        </w:numPr>
        <w:rPr>
          <w:rFonts w:cs="Open Sans"/>
          <w:sz w:val="20"/>
          <w:szCs w:val="20"/>
        </w:rPr>
      </w:pPr>
      <w:r w:rsidRPr="000C15B0">
        <w:rPr>
          <w:rFonts w:cs="Open Sans"/>
          <w:sz w:val="20"/>
          <w:szCs w:val="20"/>
        </w:rPr>
        <w:t xml:space="preserve">Desarrollar un apartado específico sobre </w:t>
      </w:r>
      <w:r w:rsidRPr="000C15B0">
        <w:rPr>
          <w:rFonts w:cs="Open Sans"/>
          <w:b/>
          <w:bCs/>
          <w:sz w:val="20"/>
          <w:szCs w:val="20"/>
        </w:rPr>
        <w:t xml:space="preserve">diversidad generacional </w:t>
      </w:r>
      <w:r w:rsidRPr="000C15B0">
        <w:rPr>
          <w:rFonts w:cs="Open Sans"/>
          <w:sz w:val="20"/>
          <w:szCs w:val="20"/>
        </w:rPr>
        <w:t xml:space="preserve">en los informes de sostenibilidad o estado de información no financiera. </w:t>
      </w:r>
    </w:p>
    <w:p w14:paraId="2422B242" w14:textId="77777777" w:rsidR="000C15B0" w:rsidRPr="000C15B0" w:rsidRDefault="000C15B0" w:rsidP="000C15B0">
      <w:pPr>
        <w:numPr>
          <w:ilvl w:val="0"/>
          <w:numId w:val="4"/>
        </w:numPr>
        <w:rPr>
          <w:rFonts w:cs="Open Sans"/>
          <w:sz w:val="20"/>
          <w:szCs w:val="20"/>
        </w:rPr>
      </w:pPr>
      <w:r w:rsidRPr="000C15B0">
        <w:rPr>
          <w:rFonts w:cs="Open Sans"/>
          <w:sz w:val="20"/>
          <w:szCs w:val="20"/>
        </w:rPr>
        <w:t xml:space="preserve">Mejorar la </w:t>
      </w:r>
      <w:r w:rsidRPr="000C15B0">
        <w:rPr>
          <w:rFonts w:cs="Open Sans"/>
          <w:b/>
          <w:bCs/>
          <w:sz w:val="20"/>
          <w:szCs w:val="20"/>
        </w:rPr>
        <w:t>segmentación</w:t>
      </w:r>
      <w:r w:rsidRPr="000C15B0">
        <w:rPr>
          <w:rFonts w:cs="Open Sans"/>
          <w:sz w:val="20"/>
          <w:szCs w:val="20"/>
        </w:rPr>
        <w:t xml:space="preserve"> de sus indicadores numéricos de plantilla por edad y por edad y geografía (España).</w:t>
      </w:r>
    </w:p>
    <w:p w14:paraId="621D4379" w14:textId="77777777" w:rsidR="000C15B0" w:rsidRPr="000C15B0" w:rsidRDefault="000C15B0" w:rsidP="000C15B0">
      <w:pPr>
        <w:numPr>
          <w:ilvl w:val="0"/>
          <w:numId w:val="4"/>
        </w:numPr>
        <w:rPr>
          <w:rFonts w:cs="Open Sans"/>
          <w:sz w:val="20"/>
          <w:szCs w:val="20"/>
        </w:rPr>
      </w:pPr>
      <w:r w:rsidRPr="000C15B0">
        <w:rPr>
          <w:rFonts w:cs="Open Sans"/>
          <w:sz w:val="20"/>
          <w:szCs w:val="20"/>
        </w:rPr>
        <w:t xml:space="preserve">Informar de manera desglosada y transparente </w:t>
      </w:r>
      <w:r w:rsidRPr="000C15B0">
        <w:rPr>
          <w:rFonts w:cs="Open Sans"/>
          <w:b/>
          <w:bCs/>
          <w:sz w:val="20"/>
          <w:szCs w:val="20"/>
        </w:rPr>
        <w:t xml:space="preserve">cómo afectan los planes de reducción de plantilla </w:t>
      </w:r>
      <w:r w:rsidRPr="000C15B0">
        <w:rPr>
          <w:rFonts w:cs="Open Sans"/>
          <w:sz w:val="20"/>
          <w:szCs w:val="20"/>
        </w:rPr>
        <w:t>al colectivo sénior.</w:t>
      </w:r>
    </w:p>
    <w:p w14:paraId="17B26D53" w14:textId="77777777" w:rsidR="000C15B0" w:rsidRPr="000C15B0" w:rsidRDefault="000C15B0" w:rsidP="000C15B0">
      <w:pPr>
        <w:numPr>
          <w:ilvl w:val="0"/>
          <w:numId w:val="4"/>
        </w:numPr>
        <w:rPr>
          <w:rFonts w:cs="Open Sans"/>
          <w:sz w:val="20"/>
          <w:szCs w:val="20"/>
        </w:rPr>
      </w:pPr>
      <w:r w:rsidRPr="000C15B0">
        <w:rPr>
          <w:rFonts w:cs="Open Sans"/>
          <w:sz w:val="20"/>
          <w:szCs w:val="20"/>
        </w:rPr>
        <w:t xml:space="preserve">Sumarse a las </w:t>
      </w:r>
      <w:r w:rsidRPr="000C15B0">
        <w:rPr>
          <w:rFonts w:cs="Open Sans"/>
          <w:b/>
          <w:bCs/>
          <w:sz w:val="20"/>
          <w:szCs w:val="20"/>
        </w:rPr>
        <w:t xml:space="preserve">iniciativas horizontales </w:t>
      </w:r>
      <w:r w:rsidRPr="000C15B0">
        <w:rPr>
          <w:rFonts w:cs="Open Sans"/>
          <w:sz w:val="20"/>
          <w:szCs w:val="20"/>
        </w:rPr>
        <w:t>que analizan la situación del talento sénior en las empresas.</w:t>
      </w:r>
    </w:p>
    <w:p w14:paraId="3318C000" w14:textId="62630C8E" w:rsidR="000C15B0" w:rsidRPr="000C15B0" w:rsidRDefault="000C15B0" w:rsidP="000C15B0">
      <w:pPr>
        <w:numPr>
          <w:ilvl w:val="0"/>
          <w:numId w:val="4"/>
        </w:numPr>
        <w:rPr>
          <w:rFonts w:cs="Open Sans"/>
          <w:sz w:val="20"/>
          <w:szCs w:val="20"/>
        </w:rPr>
      </w:pPr>
      <w:r w:rsidRPr="000C15B0">
        <w:rPr>
          <w:rFonts w:cs="Open Sans"/>
          <w:sz w:val="20"/>
          <w:szCs w:val="20"/>
        </w:rPr>
        <w:t xml:space="preserve">Incluir la discriminación por edad entre las materias denunciables en los </w:t>
      </w:r>
      <w:r w:rsidRPr="000C15B0">
        <w:rPr>
          <w:rFonts w:cs="Open Sans"/>
          <w:b/>
          <w:bCs/>
          <w:sz w:val="20"/>
          <w:szCs w:val="20"/>
        </w:rPr>
        <w:t xml:space="preserve">canales éticos o de denuncia </w:t>
      </w:r>
      <w:r w:rsidRPr="000C15B0">
        <w:rPr>
          <w:rFonts w:cs="Open Sans"/>
          <w:sz w:val="20"/>
          <w:szCs w:val="20"/>
        </w:rPr>
        <w:t>para trasladar irregularidades relacionadas con el talento sénior.</w:t>
      </w:r>
    </w:p>
    <w:p w14:paraId="740D09E3" w14:textId="77777777" w:rsidR="000C15B0" w:rsidRDefault="000C15B0">
      <w:pPr>
        <w:rPr>
          <w:rFonts w:cs="Open Sans"/>
          <w:sz w:val="20"/>
          <w:szCs w:val="20"/>
        </w:rPr>
      </w:pPr>
    </w:p>
    <w:p w14:paraId="52819049" w14:textId="77777777" w:rsidR="00806775" w:rsidRDefault="006743A2">
      <w:r>
        <w:rPr>
          <w:rFonts w:cs="Open Sans"/>
          <w:sz w:val="18"/>
          <w:szCs w:val="18"/>
        </w:rPr>
        <w:t>***</w:t>
      </w:r>
    </w:p>
    <w:p w14:paraId="4F892ED0" w14:textId="77777777" w:rsidR="00806775" w:rsidRDefault="00806775">
      <w:pPr>
        <w:rPr>
          <w:rFonts w:cs="Open Sans"/>
          <w:sz w:val="18"/>
          <w:szCs w:val="18"/>
        </w:rPr>
      </w:pPr>
    </w:p>
    <w:p w14:paraId="5CD5C9C9" w14:textId="77777777" w:rsidR="00806775" w:rsidRDefault="006743A2">
      <w:r>
        <w:rPr>
          <w:rFonts w:cs="Open Sans"/>
          <w:b/>
          <w:bCs/>
          <w:sz w:val="16"/>
          <w:szCs w:val="16"/>
        </w:rPr>
        <w:t>Acerca de Fundación Haz</w:t>
      </w:r>
    </w:p>
    <w:p w14:paraId="10AB1743" w14:textId="77777777" w:rsidR="00806775" w:rsidRDefault="006743A2">
      <w:r>
        <w:rPr>
          <w:rFonts w:cs="Open Sans"/>
          <w:sz w:val="16"/>
          <w:szCs w:val="16"/>
        </w:rPr>
        <w:t xml:space="preserve">La Fundación Haz (antes Compromiso y Transparencia) se constituyó en el año 2007 por un grupo de profesionales procedentes del mundo de la empresa, de la academia y del sector no lucrativo con la finalidad de fortalecer la confianza de la sociedad en las instituciones y empresas promoviendo la transparencia, el buen gobierno y el compromiso social. Web: </w:t>
      </w:r>
      <w:hyperlink r:id="rId8">
        <w:r>
          <w:rPr>
            <w:rStyle w:val="EnlacedeInternet"/>
            <w:rFonts w:cs="Open Sans"/>
            <w:sz w:val="16"/>
            <w:szCs w:val="16"/>
          </w:rPr>
          <w:t>www.hazfundacion.org</w:t>
        </w:r>
      </w:hyperlink>
      <w:r>
        <w:rPr>
          <w:rFonts w:cs="Open Sans"/>
          <w:sz w:val="16"/>
          <w:szCs w:val="16"/>
        </w:rPr>
        <w:t xml:space="preserve"> </w:t>
      </w:r>
    </w:p>
    <w:p w14:paraId="0EA826C1" w14:textId="77777777" w:rsidR="00806775" w:rsidRDefault="00806775">
      <w:pPr>
        <w:rPr>
          <w:rFonts w:cs="Open Sans"/>
          <w:sz w:val="16"/>
          <w:szCs w:val="16"/>
        </w:rPr>
      </w:pPr>
    </w:p>
    <w:p w14:paraId="63E3838B" w14:textId="77777777" w:rsidR="00806775" w:rsidRDefault="006743A2">
      <w:r>
        <w:rPr>
          <w:rFonts w:cs="Open Sans"/>
          <w:b/>
          <w:bCs/>
          <w:sz w:val="16"/>
          <w:szCs w:val="16"/>
        </w:rPr>
        <w:t xml:space="preserve">Acerca de itwillbe.org </w:t>
      </w:r>
    </w:p>
    <w:p w14:paraId="2A3A45A3" w14:textId="77777777" w:rsidR="00806775" w:rsidRDefault="006743A2">
      <w:r>
        <w:rPr>
          <w:rFonts w:cs="Open Sans"/>
          <w:sz w:val="16"/>
          <w:szCs w:val="16"/>
        </w:rPr>
        <w:t xml:space="preserve">ONG de innovación social, que colabora en proyectos de cooperación internacional y educación para el desarrollo, aportando eficiencia y mejorando el impacto social. Trabaja desde 2008 por la defensa de los </w:t>
      </w:r>
      <w:r>
        <w:rPr>
          <w:rFonts w:cs="Open Sans"/>
          <w:sz w:val="16"/>
          <w:szCs w:val="16"/>
        </w:rPr>
        <w:lastRenderedPageBreak/>
        <w:t>derechos humanos universales, con especial incidencia en la infancia e igualdad de género. Siempre bajo la premisa de la escalabilidad y sostenibilidad de proyecto.</w:t>
      </w:r>
    </w:p>
    <w:p w14:paraId="188E4566" w14:textId="77777777" w:rsidR="00806775" w:rsidRDefault="00806775">
      <w:pPr>
        <w:rPr>
          <w:rFonts w:cs="Open Sans"/>
          <w:sz w:val="16"/>
          <w:szCs w:val="16"/>
        </w:rPr>
      </w:pPr>
    </w:p>
    <w:p w14:paraId="250922F6" w14:textId="77777777" w:rsidR="00806775" w:rsidRDefault="006743A2">
      <w:r>
        <w:rPr>
          <w:rFonts w:cs="Open Sans"/>
          <w:b/>
          <w:bCs/>
          <w:sz w:val="16"/>
          <w:szCs w:val="16"/>
        </w:rPr>
        <w:t xml:space="preserve">Acerca de Fundación </w:t>
      </w:r>
      <w:proofErr w:type="spellStart"/>
      <w:r>
        <w:rPr>
          <w:rFonts w:cs="Open Sans"/>
          <w:b/>
          <w:bCs/>
          <w:sz w:val="16"/>
          <w:szCs w:val="16"/>
        </w:rPr>
        <w:t>Knowdle</w:t>
      </w:r>
      <w:proofErr w:type="spellEnd"/>
      <w:r>
        <w:rPr>
          <w:rFonts w:cs="Open Sans"/>
          <w:b/>
          <w:bCs/>
          <w:sz w:val="16"/>
          <w:szCs w:val="16"/>
        </w:rPr>
        <w:t xml:space="preserve"> </w:t>
      </w:r>
    </w:p>
    <w:p w14:paraId="6A8F0717" w14:textId="77777777" w:rsidR="00806775" w:rsidRDefault="006743A2">
      <w:r>
        <w:rPr>
          <w:rFonts w:cs="Open Sans"/>
          <w:sz w:val="16"/>
          <w:szCs w:val="16"/>
        </w:rPr>
        <w:t xml:space="preserve">La Fundación </w:t>
      </w:r>
      <w:proofErr w:type="spellStart"/>
      <w:r>
        <w:rPr>
          <w:rFonts w:cs="Open Sans"/>
          <w:sz w:val="16"/>
          <w:szCs w:val="16"/>
        </w:rPr>
        <w:t>Knowdle</w:t>
      </w:r>
      <w:proofErr w:type="spellEnd"/>
      <w:r>
        <w:rPr>
          <w:rFonts w:cs="Open Sans"/>
          <w:sz w:val="16"/>
          <w:szCs w:val="16"/>
        </w:rPr>
        <w:t xml:space="preserve"> se centra en el desarrollo de algoritmos y soluciones de Inteligencia Artificial/Colectiva para detectar y aprovechar los datos que se generan en la interacción de los usuarios con contenidos, aplicaciones y servicios digitales. Ello permite conocer y entender su perfil y ofrecerles e inspirarles aquello que realmente quieren o necesitan.</w:t>
      </w:r>
    </w:p>
    <w:p w14:paraId="0C0FE163" w14:textId="77777777" w:rsidR="00806775" w:rsidRDefault="00806775">
      <w:pPr>
        <w:rPr>
          <w:rFonts w:cs="Open Sans"/>
          <w:sz w:val="16"/>
          <w:szCs w:val="16"/>
        </w:rPr>
      </w:pPr>
    </w:p>
    <w:p w14:paraId="5846593F" w14:textId="77777777" w:rsidR="00806775" w:rsidRDefault="006743A2">
      <w:r>
        <w:rPr>
          <w:rFonts w:cs="Open Sans"/>
          <w:b/>
          <w:bCs/>
          <w:sz w:val="16"/>
          <w:szCs w:val="16"/>
        </w:rPr>
        <w:t>Más información</w:t>
      </w:r>
    </w:p>
    <w:p w14:paraId="1DDAAE44" w14:textId="77777777" w:rsidR="00806775" w:rsidRDefault="006743A2">
      <w:r>
        <w:rPr>
          <w:rFonts w:cs="Open Sans"/>
          <w:sz w:val="16"/>
          <w:szCs w:val="16"/>
        </w:rPr>
        <w:t xml:space="preserve">Esther Barrio / </w:t>
      </w:r>
      <w:hyperlink r:id="rId9">
        <w:r>
          <w:rPr>
            <w:rStyle w:val="EnlacedeInternet"/>
            <w:rFonts w:cs="Open Sans"/>
            <w:sz w:val="16"/>
            <w:szCs w:val="16"/>
          </w:rPr>
          <w:t>ebarrio@hazfundacion.org</w:t>
        </w:r>
      </w:hyperlink>
      <w:r>
        <w:rPr>
          <w:rFonts w:cs="Open Sans"/>
          <w:sz w:val="16"/>
          <w:szCs w:val="16"/>
        </w:rPr>
        <w:t xml:space="preserve"> / </w:t>
      </w:r>
      <w:proofErr w:type="spellStart"/>
      <w:r>
        <w:rPr>
          <w:rFonts w:cs="Open Sans"/>
          <w:sz w:val="16"/>
          <w:szCs w:val="16"/>
        </w:rPr>
        <w:t>Tfno</w:t>
      </w:r>
      <w:proofErr w:type="spellEnd"/>
      <w:r>
        <w:rPr>
          <w:rFonts w:cs="Open Sans"/>
          <w:sz w:val="16"/>
          <w:szCs w:val="16"/>
        </w:rPr>
        <w:t>: 650 38 23 35</w:t>
      </w:r>
    </w:p>
    <w:sectPr w:rsidR="00806775">
      <w:headerReference w:type="default" r:id="rId10"/>
      <w:footerReference w:type="default" r:id="rId11"/>
      <w:pgSz w:w="11906" w:h="16838"/>
      <w:pgMar w:top="2410" w:right="1701" w:bottom="2268" w:left="226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0BE58" w14:textId="77777777" w:rsidR="00C53929" w:rsidRDefault="00C53929">
      <w:pPr>
        <w:spacing w:line="240" w:lineRule="auto"/>
      </w:pPr>
      <w:r>
        <w:separator/>
      </w:r>
    </w:p>
  </w:endnote>
  <w:endnote w:type="continuationSeparator" w:id="0">
    <w:p w14:paraId="746AA304" w14:textId="77777777" w:rsidR="00C53929" w:rsidRDefault="00C539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36C8" w14:textId="77777777" w:rsidR="00806775" w:rsidRDefault="006743A2">
    <w:pPr>
      <w:pStyle w:val="Piedepgina"/>
      <w:ind w:left="-284"/>
    </w:pPr>
    <w:r>
      <w:rPr>
        <w:noProof/>
      </w:rPr>
      <w:drawing>
        <wp:inline distT="0" distB="0" distL="0" distR="0" wp14:anchorId="6FC2A105" wp14:editId="18A823B2">
          <wp:extent cx="5036185" cy="120650"/>
          <wp:effectExtent l="0" t="0" r="0" b="0"/>
          <wp:docPr id="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6"/>
                  <pic:cNvPicPr>
                    <a:picLocks noChangeAspect="1" noChangeArrowheads="1"/>
                  </pic:cNvPicPr>
                </pic:nvPicPr>
                <pic:blipFill>
                  <a:blip r:embed="rId1"/>
                  <a:stretch>
                    <a:fillRect/>
                  </a:stretch>
                </pic:blipFill>
                <pic:spPr bwMode="auto">
                  <a:xfrm>
                    <a:off x="0" y="0"/>
                    <a:ext cx="5036185" cy="1206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1E53" w14:textId="77777777" w:rsidR="00C53929" w:rsidRDefault="00C53929">
      <w:pPr>
        <w:spacing w:line="240" w:lineRule="auto"/>
      </w:pPr>
      <w:r>
        <w:separator/>
      </w:r>
    </w:p>
  </w:footnote>
  <w:footnote w:type="continuationSeparator" w:id="0">
    <w:p w14:paraId="5F90F1C9" w14:textId="77777777" w:rsidR="00C53929" w:rsidRDefault="00C539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B6BA" w14:textId="77777777" w:rsidR="00806775" w:rsidRDefault="006743A2">
    <w:pPr>
      <w:pStyle w:val="Encabezado"/>
      <w:ind w:left="-1418"/>
    </w:pPr>
    <w:r>
      <w:rPr>
        <w:noProof/>
      </w:rPr>
      <w:drawing>
        <wp:inline distT="0" distB="0" distL="0" distR="0" wp14:anchorId="62CC6E70" wp14:editId="57B5AD35">
          <wp:extent cx="1620520" cy="608330"/>
          <wp:effectExtent l="0" t="0" r="0" b="0"/>
          <wp:docPr id="1"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5"/>
                  <pic:cNvPicPr>
                    <a:picLocks noChangeAspect="1" noChangeArrowheads="1"/>
                  </pic:cNvPicPr>
                </pic:nvPicPr>
                <pic:blipFill>
                  <a:blip r:embed="rId1"/>
                  <a:stretch>
                    <a:fillRect/>
                  </a:stretch>
                </pic:blipFill>
                <pic:spPr bwMode="auto">
                  <a:xfrm>
                    <a:off x="0" y="0"/>
                    <a:ext cx="162052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44DE"/>
    <w:multiLevelType w:val="multilevel"/>
    <w:tmpl w:val="90EC4CF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A10100B"/>
    <w:multiLevelType w:val="multilevel"/>
    <w:tmpl w:val="2D9073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190128A"/>
    <w:multiLevelType w:val="hybridMultilevel"/>
    <w:tmpl w:val="D398277E"/>
    <w:lvl w:ilvl="0" w:tplc="72D4D42C">
      <w:start w:val="1"/>
      <w:numFmt w:val="decimal"/>
      <w:lvlText w:val="%1."/>
      <w:lvlJc w:val="left"/>
      <w:pPr>
        <w:tabs>
          <w:tab w:val="num" w:pos="720"/>
        </w:tabs>
        <w:ind w:left="720" w:hanging="360"/>
      </w:pPr>
    </w:lvl>
    <w:lvl w:ilvl="1" w:tplc="41BA0EF6" w:tentative="1">
      <w:start w:val="1"/>
      <w:numFmt w:val="decimal"/>
      <w:lvlText w:val="%2."/>
      <w:lvlJc w:val="left"/>
      <w:pPr>
        <w:tabs>
          <w:tab w:val="num" w:pos="1440"/>
        </w:tabs>
        <w:ind w:left="1440" w:hanging="360"/>
      </w:pPr>
    </w:lvl>
    <w:lvl w:ilvl="2" w:tplc="41886F1A" w:tentative="1">
      <w:start w:val="1"/>
      <w:numFmt w:val="decimal"/>
      <w:lvlText w:val="%3."/>
      <w:lvlJc w:val="left"/>
      <w:pPr>
        <w:tabs>
          <w:tab w:val="num" w:pos="2160"/>
        </w:tabs>
        <w:ind w:left="2160" w:hanging="360"/>
      </w:pPr>
    </w:lvl>
    <w:lvl w:ilvl="3" w:tplc="CCD6BC34" w:tentative="1">
      <w:start w:val="1"/>
      <w:numFmt w:val="decimal"/>
      <w:lvlText w:val="%4."/>
      <w:lvlJc w:val="left"/>
      <w:pPr>
        <w:tabs>
          <w:tab w:val="num" w:pos="2880"/>
        </w:tabs>
        <w:ind w:left="2880" w:hanging="360"/>
      </w:pPr>
    </w:lvl>
    <w:lvl w:ilvl="4" w:tplc="B39AD15A" w:tentative="1">
      <w:start w:val="1"/>
      <w:numFmt w:val="decimal"/>
      <w:lvlText w:val="%5."/>
      <w:lvlJc w:val="left"/>
      <w:pPr>
        <w:tabs>
          <w:tab w:val="num" w:pos="3600"/>
        </w:tabs>
        <w:ind w:left="3600" w:hanging="360"/>
      </w:pPr>
    </w:lvl>
    <w:lvl w:ilvl="5" w:tplc="ECD2B5E0" w:tentative="1">
      <w:start w:val="1"/>
      <w:numFmt w:val="decimal"/>
      <w:lvlText w:val="%6."/>
      <w:lvlJc w:val="left"/>
      <w:pPr>
        <w:tabs>
          <w:tab w:val="num" w:pos="4320"/>
        </w:tabs>
        <w:ind w:left="4320" w:hanging="360"/>
      </w:pPr>
    </w:lvl>
    <w:lvl w:ilvl="6" w:tplc="01740490" w:tentative="1">
      <w:start w:val="1"/>
      <w:numFmt w:val="decimal"/>
      <w:lvlText w:val="%7."/>
      <w:lvlJc w:val="left"/>
      <w:pPr>
        <w:tabs>
          <w:tab w:val="num" w:pos="5040"/>
        </w:tabs>
        <w:ind w:left="5040" w:hanging="360"/>
      </w:pPr>
    </w:lvl>
    <w:lvl w:ilvl="7" w:tplc="501CD17C" w:tentative="1">
      <w:start w:val="1"/>
      <w:numFmt w:val="decimal"/>
      <w:lvlText w:val="%8."/>
      <w:lvlJc w:val="left"/>
      <w:pPr>
        <w:tabs>
          <w:tab w:val="num" w:pos="5760"/>
        </w:tabs>
        <w:ind w:left="5760" w:hanging="360"/>
      </w:pPr>
    </w:lvl>
    <w:lvl w:ilvl="8" w:tplc="0684439C" w:tentative="1">
      <w:start w:val="1"/>
      <w:numFmt w:val="decimal"/>
      <w:lvlText w:val="%9."/>
      <w:lvlJc w:val="left"/>
      <w:pPr>
        <w:tabs>
          <w:tab w:val="num" w:pos="6480"/>
        </w:tabs>
        <w:ind w:left="6480" w:hanging="360"/>
      </w:pPr>
    </w:lvl>
  </w:abstractNum>
  <w:abstractNum w:abstractNumId="3" w15:restartNumberingAfterBreak="0">
    <w:nsid w:val="5A4F518A"/>
    <w:multiLevelType w:val="hybridMultilevel"/>
    <w:tmpl w:val="D94265B0"/>
    <w:lvl w:ilvl="0" w:tplc="9F061E6A">
      <w:start w:val="1"/>
      <w:numFmt w:val="decimal"/>
      <w:lvlText w:val="%1."/>
      <w:lvlJc w:val="left"/>
      <w:pPr>
        <w:tabs>
          <w:tab w:val="num" w:pos="720"/>
        </w:tabs>
        <w:ind w:left="720" w:hanging="360"/>
      </w:pPr>
    </w:lvl>
    <w:lvl w:ilvl="1" w:tplc="3AB48410" w:tentative="1">
      <w:start w:val="1"/>
      <w:numFmt w:val="decimal"/>
      <w:lvlText w:val="%2."/>
      <w:lvlJc w:val="left"/>
      <w:pPr>
        <w:tabs>
          <w:tab w:val="num" w:pos="1440"/>
        </w:tabs>
        <w:ind w:left="1440" w:hanging="360"/>
      </w:pPr>
    </w:lvl>
    <w:lvl w:ilvl="2" w:tplc="F0849646" w:tentative="1">
      <w:start w:val="1"/>
      <w:numFmt w:val="decimal"/>
      <w:lvlText w:val="%3."/>
      <w:lvlJc w:val="left"/>
      <w:pPr>
        <w:tabs>
          <w:tab w:val="num" w:pos="2160"/>
        </w:tabs>
        <w:ind w:left="2160" w:hanging="360"/>
      </w:pPr>
    </w:lvl>
    <w:lvl w:ilvl="3" w:tplc="AB380414" w:tentative="1">
      <w:start w:val="1"/>
      <w:numFmt w:val="decimal"/>
      <w:lvlText w:val="%4."/>
      <w:lvlJc w:val="left"/>
      <w:pPr>
        <w:tabs>
          <w:tab w:val="num" w:pos="2880"/>
        </w:tabs>
        <w:ind w:left="2880" w:hanging="360"/>
      </w:pPr>
    </w:lvl>
    <w:lvl w:ilvl="4" w:tplc="E91A29B6" w:tentative="1">
      <w:start w:val="1"/>
      <w:numFmt w:val="decimal"/>
      <w:lvlText w:val="%5."/>
      <w:lvlJc w:val="left"/>
      <w:pPr>
        <w:tabs>
          <w:tab w:val="num" w:pos="3600"/>
        </w:tabs>
        <w:ind w:left="3600" w:hanging="360"/>
      </w:pPr>
    </w:lvl>
    <w:lvl w:ilvl="5" w:tplc="7A5462E8" w:tentative="1">
      <w:start w:val="1"/>
      <w:numFmt w:val="decimal"/>
      <w:lvlText w:val="%6."/>
      <w:lvlJc w:val="left"/>
      <w:pPr>
        <w:tabs>
          <w:tab w:val="num" w:pos="4320"/>
        </w:tabs>
        <w:ind w:left="4320" w:hanging="360"/>
      </w:pPr>
    </w:lvl>
    <w:lvl w:ilvl="6" w:tplc="CC346E14" w:tentative="1">
      <w:start w:val="1"/>
      <w:numFmt w:val="decimal"/>
      <w:lvlText w:val="%7."/>
      <w:lvlJc w:val="left"/>
      <w:pPr>
        <w:tabs>
          <w:tab w:val="num" w:pos="5040"/>
        </w:tabs>
        <w:ind w:left="5040" w:hanging="360"/>
      </w:pPr>
    </w:lvl>
    <w:lvl w:ilvl="7" w:tplc="8F448A88" w:tentative="1">
      <w:start w:val="1"/>
      <w:numFmt w:val="decimal"/>
      <w:lvlText w:val="%8."/>
      <w:lvlJc w:val="left"/>
      <w:pPr>
        <w:tabs>
          <w:tab w:val="num" w:pos="5760"/>
        </w:tabs>
        <w:ind w:left="5760" w:hanging="360"/>
      </w:pPr>
    </w:lvl>
    <w:lvl w:ilvl="8" w:tplc="F05220D0" w:tentative="1">
      <w:start w:val="1"/>
      <w:numFmt w:val="decimal"/>
      <w:lvlText w:val="%9."/>
      <w:lvlJc w:val="left"/>
      <w:pPr>
        <w:tabs>
          <w:tab w:val="num" w:pos="6480"/>
        </w:tabs>
        <w:ind w:left="6480" w:hanging="360"/>
      </w:pPr>
    </w:lvl>
  </w:abstractNum>
  <w:abstractNum w:abstractNumId="4" w15:restartNumberingAfterBreak="0">
    <w:nsid w:val="5E6A4DC3"/>
    <w:multiLevelType w:val="hybridMultilevel"/>
    <w:tmpl w:val="CA28ECA4"/>
    <w:lvl w:ilvl="0" w:tplc="E0F812CE">
      <w:start w:val="6"/>
      <w:numFmt w:val="decimal"/>
      <w:lvlText w:val="%1."/>
      <w:lvlJc w:val="left"/>
      <w:pPr>
        <w:tabs>
          <w:tab w:val="num" w:pos="720"/>
        </w:tabs>
        <w:ind w:left="720" w:hanging="360"/>
      </w:pPr>
    </w:lvl>
    <w:lvl w:ilvl="1" w:tplc="A882172E" w:tentative="1">
      <w:start w:val="1"/>
      <w:numFmt w:val="decimal"/>
      <w:lvlText w:val="%2."/>
      <w:lvlJc w:val="left"/>
      <w:pPr>
        <w:tabs>
          <w:tab w:val="num" w:pos="1440"/>
        </w:tabs>
        <w:ind w:left="1440" w:hanging="360"/>
      </w:pPr>
    </w:lvl>
    <w:lvl w:ilvl="2" w:tplc="81E21E0C" w:tentative="1">
      <w:start w:val="1"/>
      <w:numFmt w:val="decimal"/>
      <w:lvlText w:val="%3."/>
      <w:lvlJc w:val="left"/>
      <w:pPr>
        <w:tabs>
          <w:tab w:val="num" w:pos="2160"/>
        </w:tabs>
        <w:ind w:left="2160" w:hanging="360"/>
      </w:pPr>
    </w:lvl>
    <w:lvl w:ilvl="3" w:tplc="1D7ECD80" w:tentative="1">
      <w:start w:val="1"/>
      <w:numFmt w:val="decimal"/>
      <w:lvlText w:val="%4."/>
      <w:lvlJc w:val="left"/>
      <w:pPr>
        <w:tabs>
          <w:tab w:val="num" w:pos="2880"/>
        </w:tabs>
        <w:ind w:left="2880" w:hanging="360"/>
      </w:pPr>
    </w:lvl>
    <w:lvl w:ilvl="4" w:tplc="2E5C04FE" w:tentative="1">
      <w:start w:val="1"/>
      <w:numFmt w:val="decimal"/>
      <w:lvlText w:val="%5."/>
      <w:lvlJc w:val="left"/>
      <w:pPr>
        <w:tabs>
          <w:tab w:val="num" w:pos="3600"/>
        </w:tabs>
        <w:ind w:left="3600" w:hanging="360"/>
      </w:pPr>
    </w:lvl>
    <w:lvl w:ilvl="5" w:tplc="DDC8BA44" w:tentative="1">
      <w:start w:val="1"/>
      <w:numFmt w:val="decimal"/>
      <w:lvlText w:val="%6."/>
      <w:lvlJc w:val="left"/>
      <w:pPr>
        <w:tabs>
          <w:tab w:val="num" w:pos="4320"/>
        </w:tabs>
        <w:ind w:left="4320" w:hanging="360"/>
      </w:pPr>
    </w:lvl>
    <w:lvl w:ilvl="6" w:tplc="3E4E888C" w:tentative="1">
      <w:start w:val="1"/>
      <w:numFmt w:val="decimal"/>
      <w:lvlText w:val="%7."/>
      <w:lvlJc w:val="left"/>
      <w:pPr>
        <w:tabs>
          <w:tab w:val="num" w:pos="5040"/>
        </w:tabs>
        <w:ind w:left="5040" w:hanging="360"/>
      </w:pPr>
    </w:lvl>
    <w:lvl w:ilvl="7" w:tplc="D480B6A4" w:tentative="1">
      <w:start w:val="1"/>
      <w:numFmt w:val="decimal"/>
      <w:lvlText w:val="%8."/>
      <w:lvlJc w:val="left"/>
      <w:pPr>
        <w:tabs>
          <w:tab w:val="num" w:pos="5760"/>
        </w:tabs>
        <w:ind w:left="5760" w:hanging="360"/>
      </w:pPr>
    </w:lvl>
    <w:lvl w:ilvl="8" w:tplc="3800B1AC" w:tentative="1">
      <w:start w:val="1"/>
      <w:numFmt w:val="decimal"/>
      <w:lvlText w:val="%9."/>
      <w:lvlJc w:val="left"/>
      <w:pPr>
        <w:tabs>
          <w:tab w:val="num" w:pos="6480"/>
        </w:tabs>
        <w:ind w:left="6480" w:hanging="360"/>
      </w:pPr>
    </w:lvl>
  </w:abstractNum>
  <w:abstractNum w:abstractNumId="5" w15:restartNumberingAfterBreak="0">
    <w:nsid w:val="70EE2CD4"/>
    <w:multiLevelType w:val="multilevel"/>
    <w:tmpl w:val="1BE22A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75"/>
    <w:rsid w:val="000C15B0"/>
    <w:rsid w:val="004041EA"/>
    <w:rsid w:val="0041688D"/>
    <w:rsid w:val="005028B8"/>
    <w:rsid w:val="006206E0"/>
    <w:rsid w:val="006743A2"/>
    <w:rsid w:val="00806775"/>
    <w:rsid w:val="008E6C59"/>
    <w:rsid w:val="00C53929"/>
    <w:rsid w:val="00D202C2"/>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37A0"/>
  <w15:docId w15:val="{405083FE-D1C8-45BE-A738-D938BD0C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5E3"/>
    <w:pPr>
      <w:spacing w:line="280" w:lineRule="exact"/>
      <w:jc w:val="both"/>
    </w:pPr>
    <w:rPr>
      <w:rFonts w:ascii="Open Sans" w:hAnsi="Open San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9F2434"/>
    <w:rPr>
      <w:rFonts w:ascii="Open Sans" w:hAnsi="Open Sans"/>
    </w:rPr>
  </w:style>
  <w:style w:type="character" w:customStyle="1" w:styleId="PiedepginaCar">
    <w:name w:val="Pie de página Car"/>
    <w:basedOn w:val="Fuentedeprrafopredeter"/>
    <w:link w:val="Piedepgina"/>
    <w:uiPriority w:val="99"/>
    <w:qFormat/>
    <w:rsid w:val="009F2434"/>
    <w:rPr>
      <w:rFonts w:ascii="Open Sans" w:hAnsi="Open Sans"/>
    </w:rPr>
  </w:style>
  <w:style w:type="character" w:customStyle="1" w:styleId="EnlacedeInternet">
    <w:name w:val="Enlace de Internet"/>
    <w:basedOn w:val="Fuentedeprrafopredeter"/>
    <w:uiPriority w:val="99"/>
    <w:unhideWhenUsed/>
    <w:rsid w:val="001268E0"/>
    <w:rPr>
      <w:color w:val="0563C1" w:themeColor="hyperlink"/>
      <w:u w:val="single"/>
    </w:rPr>
  </w:style>
  <w:style w:type="character" w:styleId="Mencinsinresolver">
    <w:name w:val="Unresolved Mention"/>
    <w:basedOn w:val="Fuentedeprrafopredeter"/>
    <w:uiPriority w:val="99"/>
    <w:semiHidden/>
    <w:unhideWhenUsed/>
    <w:qFormat/>
    <w:rsid w:val="001268E0"/>
    <w:rPr>
      <w:color w:val="605E5C"/>
      <w:shd w:val="clear" w:color="auto" w:fill="E1DFDD"/>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Textonegrita">
    <w:name w:val="Texto negrita"/>
    <w:basedOn w:val="Normal"/>
    <w:qFormat/>
    <w:rsid w:val="000215E3"/>
    <w:rPr>
      <w:b/>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9F2434"/>
    <w:pPr>
      <w:tabs>
        <w:tab w:val="center" w:pos="4252"/>
        <w:tab w:val="right" w:pos="8504"/>
      </w:tabs>
      <w:spacing w:line="240" w:lineRule="auto"/>
    </w:pPr>
  </w:style>
  <w:style w:type="paragraph" w:styleId="Piedepgina">
    <w:name w:val="footer"/>
    <w:basedOn w:val="Normal"/>
    <w:link w:val="PiedepginaCar"/>
    <w:uiPriority w:val="99"/>
    <w:unhideWhenUsed/>
    <w:rsid w:val="009F2434"/>
    <w:pPr>
      <w:tabs>
        <w:tab w:val="center" w:pos="4252"/>
        <w:tab w:val="right" w:pos="8504"/>
      </w:tabs>
      <w:spacing w:line="240" w:lineRule="auto"/>
    </w:pPr>
  </w:style>
  <w:style w:type="paragraph" w:styleId="Prrafodelista">
    <w:name w:val="List Paragraph"/>
    <w:basedOn w:val="Normal"/>
    <w:uiPriority w:val="34"/>
    <w:qFormat/>
    <w:rsid w:val="00743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352064">
      <w:bodyDiv w:val="1"/>
      <w:marLeft w:val="0"/>
      <w:marRight w:val="0"/>
      <w:marTop w:val="0"/>
      <w:marBottom w:val="0"/>
      <w:divBdr>
        <w:top w:val="none" w:sz="0" w:space="0" w:color="auto"/>
        <w:left w:val="none" w:sz="0" w:space="0" w:color="auto"/>
        <w:bottom w:val="none" w:sz="0" w:space="0" w:color="auto"/>
        <w:right w:val="none" w:sz="0" w:space="0" w:color="auto"/>
      </w:divBdr>
      <w:divsChild>
        <w:div w:id="170343548">
          <w:marLeft w:val="706"/>
          <w:marRight w:val="0"/>
          <w:marTop w:val="0"/>
          <w:marBottom w:val="0"/>
          <w:divBdr>
            <w:top w:val="none" w:sz="0" w:space="0" w:color="auto"/>
            <w:left w:val="none" w:sz="0" w:space="0" w:color="auto"/>
            <w:bottom w:val="none" w:sz="0" w:space="0" w:color="auto"/>
            <w:right w:val="none" w:sz="0" w:space="0" w:color="auto"/>
          </w:divBdr>
        </w:div>
        <w:div w:id="1345403246">
          <w:marLeft w:val="706"/>
          <w:marRight w:val="0"/>
          <w:marTop w:val="0"/>
          <w:marBottom w:val="0"/>
          <w:divBdr>
            <w:top w:val="none" w:sz="0" w:space="0" w:color="auto"/>
            <w:left w:val="none" w:sz="0" w:space="0" w:color="auto"/>
            <w:bottom w:val="none" w:sz="0" w:space="0" w:color="auto"/>
            <w:right w:val="none" w:sz="0" w:space="0" w:color="auto"/>
          </w:divBdr>
        </w:div>
        <w:div w:id="1074741138">
          <w:marLeft w:val="706"/>
          <w:marRight w:val="0"/>
          <w:marTop w:val="0"/>
          <w:marBottom w:val="0"/>
          <w:divBdr>
            <w:top w:val="none" w:sz="0" w:space="0" w:color="auto"/>
            <w:left w:val="none" w:sz="0" w:space="0" w:color="auto"/>
            <w:bottom w:val="none" w:sz="0" w:space="0" w:color="auto"/>
            <w:right w:val="none" w:sz="0" w:space="0" w:color="auto"/>
          </w:divBdr>
        </w:div>
        <w:div w:id="1280912594">
          <w:marLeft w:val="706"/>
          <w:marRight w:val="0"/>
          <w:marTop w:val="0"/>
          <w:marBottom w:val="0"/>
          <w:divBdr>
            <w:top w:val="none" w:sz="0" w:space="0" w:color="auto"/>
            <w:left w:val="none" w:sz="0" w:space="0" w:color="auto"/>
            <w:bottom w:val="none" w:sz="0" w:space="0" w:color="auto"/>
            <w:right w:val="none" w:sz="0" w:space="0" w:color="auto"/>
          </w:divBdr>
        </w:div>
        <w:div w:id="606350489">
          <w:marLeft w:val="706"/>
          <w:marRight w:val="0"/>
          <w:marTop w:val="0"/>
          <w:marBottom w:val="0"/>
          <w:divBdr>
            <w:top w:val="none" w:sz="0" w:space="0" w:color="auto"/>
            <w:left w:val="none" w:sz="0" w:space="0" w:color="auto"/>
            <w:bottom w:val="none" w:sz="0" w:space="0" w:color="auto"/>
            <w:right w:val="none" w:sz="0" w:space="0" w:color="auto"/>
          </w:divBdr>
        </w:div>
      </w:divsChild>
    </w:div>
    <w:div w:id="1870144055">
      <w:bodyDiv w:val="1"/>
      <w:marLeft w:val="0"/>
      <w:marRight w:val="0"/>
      <w:marTop w:val="0"/>
      <w:marBottom w:val="0"/>
      <w:divBdr>
        <w:top w:val="none" w:sz="0" w:space="0" w:color="auto"/>
        <w:left w:val="none" w:sz="0" w:space="0" w:color="auto"/>
        <w:bottom w:val="none" w:sz="0" w:space="0" w:color="auto"/>
        <w:right w:val="none" w:sz="0" w:space="0" w:color="auto"/>
      </w:divBdr>
      <w:divsChild>
        <w:div w:id="1703096289">
          <w:marLeft w:val="720"/>
          <w:marRight w:val="0"/>
          <w:marTop w:val="0"/>
          <w:marBottom w:val="0"/>
          <w:divBdr>
            <w:top w:val="none" w:sz="0" w:space="0" w:color="auto"/>
            <w:left w:val="none" w:sz="0" w:space="0" w:color="auto"/>
            <w:bottom w:val="none" w:sz="0" w:space="0" w:color="auto"/>
            <w:right w:val="none" w:sz="0" w:space="0" w:color="auto"/>
          </w:divBdr>
        </w:div>
      </w:divsChild>
    </w:div>
    <w:div w:id="2137942722">
      <w:bodyDiv w:val="1"/>
      <w:marLeft w:val="0"/>
      <w:marRight w:val="0"/>
      <w:marTop w:val="0"/>
      <w:marBottom w:val="0"/>
      <w:divBdr>
        <w:top w:val="none" w:sz="0" w:space="0" w:color="auto"/>
        <w:left w:val="none" w:sz="0" w:space="0" w:color="auto"/>
        <w:bottom w:val="none" w:sz="0" w:space="0" w:color="auto"/>
        <w:right w:val="none" w:sz="0" w:space="0" w:color="auto"/>
      </w:divBdr>
      <w:divsChild>
        <w:div w:id="470638324">
          <w:marLeft w:val="706"/>
          <w:marRight w:val="0"/>
          <w:marTop w:val="0"/>
          <w:marBottom w:val="0"/>
          <w:divBdr>
            <w:top w:val="none" w:sz="0" w:space="0" w:color="auto"/>
            <w:left w:val="none" w:sz="0" w:space="0" w:color="auto"/>
            <w:bottom w:val="none" w:sz="0" w:space="0" w:color="auto"/>
            <w:right w:val="none" w:sz="0" w:space="0" w:color="auto"/>
          </w:divBdr>
        </w:div>
        <w:div w:id="835153304">
          <w:marLeft w:val="706"/>
          <w:marRight w:val="0"/>
          <w:marTop w:val="0"/>
          <w:marBottom w:val="0"/>
          <w:divBdr>
            <w:top w:val="none" w:sz="0" w:space="0" w:color="auto"/>
            <w:left w:val="none" w:sz="0" w:space="0" w:color="auto"/>
            <w:bottom w:val="none" w:sz="0" w:space="0" w:color="auto"/>
            <w:right w:val="none" w:sz="0" w:space="0" w:color="auto"/>
          </w:divBdr>
        </w:div>
        <w:div w:id="972061997">
          <w:marLeft w:val="706"/>
          <w:marRight w:val="0"/>
          <w:marTop w:val="0"/>
          <w:marBottom w:val="0"/>
          <w:divBdr>
            <w:top w:val="none" w:sz="0" w:space="0" w:color="auto"/>
            <w:left w:val="none" w:sz="0" w:space="0" w:color="auto"/>
            <w:bottom w:val="none" w:sz="0" w:space="0" w:color="auto"/>
            <w:right w:val="none" w:sz="0" w:space="0" w:color="auto"/>
          </w:divBdr>
        </w:div>
        <w:div w:id="1523862690">
          <w:marLeft w:val="706"/>
          <w:marRight w:val="0"/>
          <w:marTop w:val="0"/>
          <w:marBottom w:val="0"/>
          <w:divBdr>
            <w:top w:val="none" w:sz="0" w:space="0" w:color="auto"/>
            <w:left w:val="none" w:sz="0" w:space="0" w:color="auto"/>
            <w:bottom w:val="none" w:sz="0" w:space="0" w:color="auto"/>
            <w:right w:val="none" w:sz="0" w:space="0" w:color="auto"/>
          </w:divBdr>
        </w:div>
        <w:div w:id="530340807">
          <w:marLeft w:val="70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azfundac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zfundac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barrio@hazfundacio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1267</Words>
  <Characters>6974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dc:creator>
  <dc:description/>
  <cp:lastModifiedBy>Esther Barrio Medina</cp:lastModifiedBy>
  <cp:revision>5</cp:revision>
  <cp:lastPrinted>2020-10-19T11:39:00Z</cp:lastPrinted>
  <dcterms:created xsi:type="dcterms:W3CDTF">2022-04-01T09:07:00Z</dcterms:created>
  <dcterms:modified xsi:type="dcterms:W3CDTF">2022-04-04T17:04:00Z</dcterms:modified>
  <dc:language>es-ES</dc:language>
</cp:coreProperties>
</file>