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69D5" w14:textId="0EA3F7B9" w:rsidR="0015399F" w:rsidRPr="0015399F" w:rsidRDefault="0015399F" w:rsidP="007357FC">
      <w:pPr>
        <w:jc w:val="center"/>
        <w:rPr>
          <w:i/>
          <w:iCs/>
        </w:rPr>
      </w:pPr>
      <w:r w:rsidRPr="0015399F">
        <w:rPr>
          <w:i/>
          <w:iCs/>
        </w:rPr>
        <w:t xml:space="preserve">Según el </w:t>
      </w:r>
      <w:r w:rsidR="004A4315">
        <w:rPr>
          <w:i/>
          <w:iCs/>
        </w:rPr>
        <w:t>segundo</w:t>
      </w:r>
      <w:r w:rsidRPr="0015399F">
        <w:rPr>
          <w:i/>
          <w:iCs/>
        </w:rPr>
        <w:t xml:space="preserve"> informe de 'compliance' elaborado por la Fundación Haz</w:t>
      </w:r>
    </w:p>
    <w:p w14:paraId="735EC4E0" w14:textId="36EA20D0" w:rsidR="00E616D5" w:rsidRPr="007357FC" w:rsidRDefault="00E616D5" w:rsidP="007357FC">
      <w:pPr>
        <w:jc w:val="center"/>
        <w:rPr>
          <w:b/>
          <w:bCs/>
          <w:i/>
          <w:iCs/>
          <w:sz w:val="28"/>
          <w:szCs w:val="28"/>
        </w:rPr>
      </w:pPr>
      <w:r w:rsidRPr="007357FC">
        <w:rPr>
          <w:b/>
          <w:bCs/>
          <w:i/>
          <w:iCs/>
          <w:sz w:val="28"/>
          <w:szCs w:val="28"/>
        </w:rPr>
        <w:t>Caixa</w:t>
      </w:r>
      <w:r w:rsidR="00006E39" w:rsidRPr="007357FC">
        <w:rPr>
          <w:b/>
          <w:bCs/>
          <w:i/>
          <w:iCs/>
          <w:sz w:val="28"/>
          <w:szCs w:val="28"/>
        </w:rPr>
        <w:t>B</w:t>
      </w:r>
      <w:r w:rsidRPr="007357FC">
        <w:rPr>
          <w:b/>
          <w:bCs/>
          <w:i/>
          <w:iCs/>
          <w:sz w:val="28"/>
          <w:szCs w:val="28"/>
        </w:rPr>
        <w:t>ank y Meli</w:t>
      </w:r>
      <w:r w:rsidR="00006E39" w:rsidRPr="007357FC">
        <w:rPr>
          <w:b/>
          <w:bCs/>
          <w:i/>
          <w:iCs/>
          <w:sz w:val="28"/>
          <w:szCs w:val="28"/>
        </w:rPr>
        <w:t>á</w:t>
      </w:r>
      <w:r w:rsidRPr="007357FC">
        <w:rPr>
          <w:b/>
          <w:bCs/>
          <w:i/>
          <w:iCs/>
          <w:sz w:val="28"/>
          <w:szCs w:val="28"/>
        </w:rPr>
        <w:t xml:space="preserve"> Hotels</w:t>
      </w:r>
      <w:r w:rsidR="00006E39" w:rsidRPr="007357FC">
        <w:rPr>
          <w:b/>
          <w:bCs/>
          <w:i/>
          <w:iCs/>
          <w:sz w:val="28"/>
          <w:szCs w:val="28"/>
        </w:rPr>
        <w:t>,</w:t>
      </w:r>
      <w:r w:rsidRPr="007357FC">
        <w:rPr>
          <w:b/>
          <w:bCs/>
          <w:i/>
          <w:iCs/>
          <w:sz w:val="28"/>
          <w:szCs w:val="28"/>
        </w:rPr>
        <w:t xml:space="preserve"> las empresas del IBEX 35 más transparentes en las prácticas sobre ética y cumplimiento</w:t>
      </w:r>
    </w:p>
    <w:p w14:paraId="2FDB7C97" w14:textId="77777777" w:rsidR="00E616D5" w:rsidRPr="00006E39" w:rsidRDefault="00E616D5" w:rsidP="00E616D5">
      <w:pPr>
        <w:pStyle w:val="Prrafodelista"/>
        <w:jc w:val="both"/>
        <w:rPr>
          <w:sz w:val="20"/>
          <w:szCs w:val="20"/>
        </w:rPr>
      </w:pPr>
    </w:p>
    <w:p w14:paraId="1238AC4D" w14:textId="6A7ADDCB" w:rsidR="002823A6" w:rsidRPr="00006E39" w:rsidRDefault="00252E17">
      <w:pPr>
        <w:pStyle w:val="Prrafodelista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006E39">
        <w:rPr>
          <w:i/>
          <w:iCs/>
          <w:sz w:val="20"/>
          <w:szCs w:val="20"/>
        </w:rPr>
        <w:t>L</w:t>
      </w:r>
      <w:r w:rsidR="00217D1B" w:rsidRPr="00006E39">
        <w:rPr>
          <w:i/>
          <w:iCs/>
          <w:sz w:val="20"/>
          <w:szCs w:val="20"/>
        </w:rPr>
        <w:t>as empresas</w:t>
      </w:r>
      <w:r w:rsidR="00E616D5" w:rsidRPr="00006E39">
        <w:rPr>
          <w:i/>
          <w:iCs/>
          <w:sz w:val="20"/>
          <w:szCs w:val="20"/>
        </w:rPr>
        <w:t xml:space="preserve"> del IBEX 35 mejoran </w:t>
      </w:r>
      <w:r w:rsidR="00693713" w:rsidRPr="00006E39">
        <w:rPr>
          <w:i/>
          <w:iCs/>
          <w:sz w:val="20"/>
          <w:szCs w:val="20"/>
        </w:rPr>
        <w:t xml:space="preserve">en transparencia </w:t>
      </w:r>
      <w:r w:rsidR="00E616D5" w:rsidRPr="00006E39">
        <w:rPr>
          <w:i/>
          <w:iCs/>
          <w:sz w:val="20"/>
          <w:szCs w:val="20"/>
        </w:rPr>
        <w:t>en</w:t>
      </w:r>
      <w:r w:rsidR="003A77D5" w:rsidRPr="00006E39">
        <w:rPr>
          <w:i/>
          <w:iCs/>
          <w:sz w:val="20"/>
          <w:szCs w:val="20"/>
        </w:rPr>
        <w:t xml:space="preserve"> sus prácticas </w:t>
      </w:r>
      <w:r w:rsidR="00E616D5" w:rsidRPr="00006E39">
        <w:rPr>
          <w:i/>
          <w:iCs/>
          <w:sz w:val="20"/>
          <w:szCs w:val="20"/>
        </w:rPr>
        <w:t>sobre</w:t>
      </w:r>
      <w:r w:rsidR="003A77D5" w:rsidRPr="00006E39">
        <w:rPr>
          <w:i/>
          <w:iCs/>
          <w:sz w:val="20"/>
          <w:szCs w:val="20"/>
        </w:rPr>
        <w:t xml:space="preserve"> ética y cumplimiento</w:t>
      </w:r>
      <w:r w:rsidR="007357FC">
        <w:rPr>
          <w:i/>
          <w:iCs/>
          <w:sz w:val="20"/>
          <w:szCs w:val="20"/>
        </w:rPr>
        <w:t>,</w:t>
      </w:r>
      <w:r w:rsidR="00217D1B" w:rsidRPr="00006E39">
        <w:rPr>
          <w:i/>
          <w:iCs/>
          <w:sz w:val="20"/>
          <w:szCs w:val="20"/>
        </w:rPr>
        <w:t xml:space="preserve"> </w:t>
      </w:r>
      <w:r w:rsidR="00693713" w:rsidRPr="00006E39">
        <w:rPr>
          <w:i/>
          <w:iCs/>
          <w:sz w:val="20"/>
          <w:szCs w:val="20"/>
        </w:rPr>
        <w:t>aumentando este año</w:t>
      </w:r>
      <w:r w:rsidR="00E616D5" w:rsidRPr="00006E39">
        <w:rPr>
          <w:i/>
          <w:iCs/>
          <w:sz w:val="20"/>
          <w:szCs w:val="20"/>
        </w:rPr>
        <w:t xml:space="preserve"> de </w:t>
      </w:r>
      <w:r w:rsidR="008B1C4F">
        <w:rPr>
          <w:i/>
          <w:iCs/>
          <w:sz w:val="20"/>
          <w:szCs w:val="20"/>
        </w:rPr>
        <w:t>tres</w:t>
      </w:r>
      <w:r w:rsidR="00E616D5" w:rsidRPr="00006E39">
        <w:rPr>
          <w:i/>
          <w:iCs/>
          <w:sz w:val="20"/>
          <w:szCs w:val="20"/>
        </w:rPr>
        <w:t xml:space="preserve"> a </w:t>
      </w:r>
      <w:r w:rsidR="008B1C4F">
        <w:rPr>
          <w:i/>
          <w:iCs/>
          <w:sz w:val="20"/>
          <w:szCs w:val="20"/>
        </w:rPr>
        <w:t>diez</w:t>
      </w:r>
      <w:r w:rsidR="00E616D5" w:rsidRPr="00006E39">
        <w:rPr>
          <w:i/>
          <w:iCs/>
          <w:sz w:val="20"/>
          <w:szCs w:val="20"/>
        </w:rPr>
        <w:t xml:space="preserve"> las</w:t>
      </w:r>
      <w:r w:rsidR="00693713" w:rsidRPr="00006E39">
        <w:rPr>
          <w:i/>
          <w:iCs/>
          <w:sz w:val="20"/>
          <w:szCs w:val="20"/>
        </w:rPr>
        <w:t xml:space="preserve"> empresas</w:t>
      </w:r>
      <w:r w:rsidR="00E616D5" w:rsidRPr="00006E39">
        <w:rPr>
          <w:i/>
          <w:iCs/>
          <w:sz w:val="20"/>
          <w:szCs w:val="20"/>
        </w:rPr>
        <w:t xml:space="preserve"> calificadas </w:t>
      </w:r>
      <w:r w:rsidR="00C45074">
        <w:rPr>
          <w:i/>
          <w:iCs/>
          <w:sz w:val="20"/>
          <w:szCs w:val="20"/>
        </w:rPr>
        <w:t>como</w:t>
      </w:r>
      <w:r w:rsidR="00E616D5" w:rsidRPr="00006E39">
        <w:rPr>
          <w:i/>
          <w:iCs/>
          <w:sz w:val="20"/>
          <w:szCs w:val="20"/>
        </w:rPr>
        <w:t xml:space="preserve"> transparente</w:t>
      </w:r>
      <w:r w:rsidR="00693713" w:rsidRPr="00006E39">
        <w:rPr>
          <w:i/>
          <w:iCs/>
          <w:sz w:val="20"/>
          <w:szCs w:val="20"/>
        </w:rPr>
        <w:t>s</w:t>
      </w:r>
      <w:r w:rsidR="00006E39" w:rsidRPr="00006E39">
        <w:rPr>
          <w:i/>
          <w:iCs/>
          <w:sz w:val="20"/>
          <w:szCs w:val="20"/>
        </w:rPr>
        <w:t>.</w:t>
      </w:r>
    </w:p>
    <w:p w14:paraId="76D9FEE4" w14:textId="77777777" w:rsidR="007357FC" w:rsidRPr="007357FC" w:rsidRDefault="00A345E6" w:rsidP="00A84079">
      <w:pPr>
        <w:pStyle w:val="Prrafodelista"/>
        <w:numPr>
          <w:ilvl w:val="0"/>
          <w:numId w:val="1"/>
        </w:numPr>
        <w:jc w:val="both"/>
      </w:pPr>
      <w:r>
        <w:rPr>
          <w:i/>
          <w:iCs/>
          <w:sz w:val="20"/>
          <w:szCs w:val="20"/>
        </w:rPr>
        <w:t xml:space="preserve">Las áreas que mayor cumplimiento registran son las de </w:t>
      </w:r>
      <w:r w:rsidR="007357FC">
        <w:rPr>
          <w:i/>
          <w:iCs/>
          <w:sz w:val="20"/>
          <w:szCs w:val="20"/>
        </w:rPr>
        <w:t>‘</w:t>
      </w:r>
      <w:r>
        <w:rPr>
          <w:i/>
          <w:iCs/>
          <w:sz w:val="20"/>
          <w:szCs w:val="20"/>
        </w:rPr>
        <w:t>Canal ético</w:t>
      </w:r>
      <w:r w:rsidR="007357FC">
        <w:rPr>
          <w:i/>
          <w:iCs/>
          <w:sz w:val="20"/>
          <w:szCs w:val="20"/>
        </w:rPr>
        <w:t>’</w:t>
      </w:r>
      <w:r>
        <w:rPr>
          <w:i/>
          <w:iCs/>
          <w:sz w:val="20"/>
          <w:szCs w:val="20"/>
        </w:rPr>
        <w:t xml:space="preserve"> y </w:t>
      </w:r>
      <w:r w:rsidR="007357FC">
        <w:rPr>
          <w:i/>
          <w:iCs/>
          <w:sz w:val="20"/>
          <w:szCs w:val="20"/>
        </w:rPr>
        <w:t>‘</w:t>
      </w:r>
      <w:r>
        <w:rPr>
          <w:i/>
          <w:iCs/>
          <w:sz w:val="20"/>
          <w:szCs w:val="20"/>
        </w:rPr>
        <w:t>Políticas y procesos</w:t>
      </w:r>
      <w:r w:rsidR="007357FC">
        <w:rPr>
          <w:i/>
          <w:iCs/>
          <w:sz w:val="20"/>
          <w:szCs w:val="20"/>
        </w:rPr>
        <w:t>’</w:t>
      </w:r>
      <w:r>
        <w:rPr>
          <w:i/>
          <w:iCs/>
          <w:sz w:val="20"/>
          <w:szCs w:val="20"/>
        </w:rPr>
        <w:t>.</w:t>
      </w:r>
    </w:p>
    <w:p w14:paraId="73F1B8B0" w14:textId="5185033C" w:rsidR="002D6939" w:rsidRPr="00006E39" w:rsidRDefault="00341E42" w:rsidP="00A84079">
      <w:pPr>
        <w:pStyle w:val="Prrafodelista"/>
        <w:numPr>
          <w:ilvl w:val="0"/>
          <w:numId w:val="1"/>
        </w:numPr>
        <w:jc w:val="both"/>
      </w:pPr>
      <w:r w:rsidRPr="00006E39">
        <w:rPr>
          <w:i/>
          <w:iCs/>
          <w:sz w:val="20"/>
          <w:szCs w:val="20"/>
        </w:rPr>
        <w:t xml:space="preserve">El informe </w:t>
      </w:r>
      <w:r w:rsidR="00693713" w:rsidRPr="00006E39">
        <w:rPr>
          <w:i/>
          <w:iCs/>
          <w:sz w:val="20"/>
          <w:szCs w:val="20"/>
        </w:rPr>
        <w:t>destaca la importancia de</w:t>
      </w:r>
      <w:r w:rsidRPr="00006E39">
        <w:rPr>
          <w:i/>
          <w:iCs/>
          <w:sz w:val="20"/>
          <w:szCs w:val="20"/>
        </w:rPr>
        <w:t xml:space="preserve"> desarroll</w:t>
      </w:r>
      <w:r w:rsidR="00693713" w:rsidRPr="00006E39">
        <w:rPr>
          <w:i/>
          <w:iCs/>
          <w:sz w:val="20"/>
          <w:szCs w:val="20"/>
        </w:rPr>
        <w:t>ar</w:t>
      </w:r>
      <w:r w:rsidRPr="00006E39">
        <w:rPr>
          <w:i/>
          <w:iCs/>
          <w:sz w:val="20"/>
          <w:szCs w:val="20"/>
        </w:rPr>
        <w:t xml:space="preserve"> una cultura ética que vaya más allá del cumplimiento legal</w:t>
      </w:r>
      <w:r w:rsidR="00006E39" w:rsidRPr="00006E39">
        <w:rPr>
          <w:i/>
          <w:iCs/>
          <w:sz w:val="20"/>
          <w:szCs w:val="20"/>
        </w:rPr>
        <w:t>.</w:t>
      </w:r>
    </w:p>
    <w:p w14:paraId="1FC258AC" w14:textId="28AFE74F" w:rsidR="007357FC" w:rsidRDefault="0015399F" w:rsidP="00BA6D74">
      <w:pPr>
        <w:jc w:val="both"/>
      </w:pPr>
      <w:r w:rsidRPr="002D6939">
        <w:rPr>
          <w:rStyle w:val="nfasis"/>
          <w:b/>
          <w:bCs/>
        </w:rPr>
        <w:t>Madrid, 1 de diciembre de 202</w:t>
      </w:r>
      <w:r w:rsidR="002D6939">
        <w:rPr>
          <w:rStyle w:val="nfasis"/>
          <w:b/>
          <w:bCs/>
        </w:rPr>
        <w:t>2</w:t>
      </w:r>
      <w:r>
        <w:rPr>
          <w:rStyle w:val="Textoennegrita"/>
        </w:rPr>
        <w:t>.</w:t>
      </w:r>
      <w:r>
        <w:t xml:space="preserve"> </w:t>
      </w:r>
      <w:r w:rsidR="00030319" w:rsidRPr="00006E39">
        <w:t xml:space="preserve">Las empresas del IBEX 35 han mejorado sus índices de transparencia en relación </w:t>
      </w:r>
      <w:r w:rsidR="00617EF3" w:rsidRPr="00006E39">
        <w:t xml:space="preserve">con </w:t>
      </w:r>
      <w:r w:rsidR="00030319" w:rsidRPr="00006E39">
        <w:t>las prácticas de ética y cumplimiento</w:t>
      </w:r>
      <w:r w:rsidR="007357FC">
        <w:t>.</w:t>
      </w:r>
      <w:r w:rsidR="00030319" w:rsidRPr="00006E39">
        <w:t xml:space="preserve"> </w:t>
      </w:r>
      <w:r w:rsidR="00006E39" w:rsidRPr="00C07D39">
        <w:rPr>
          <w:b/>
          <w:bCs/>
        </w:rPr>
        <w:t>CaixaBank y Meliá Hotels</w:t>
      </w:r>
      <w:r w:rsidR="00A345E6">
        <w:rPr>
          <w:b/>
          <w:bCs/>
        </w:rPr>
        <w:t xml:space="preserve"> </w:t>
      </w:r>
      <w:r w:rsidR="007357FC">
        <w:rPr>
          <w:b/>
          <w:bCs/>
        </w:rPr>
        <w:t>lideran</w:t>
      </w:r>
      <w:r w:rsidR="00A345E6">
        <w:rPr>
          <w:b/>
          <w:bCs/>
        </w:rPr>
        <w:t xml:space="preserve"> del </w:t>
      </w:r>
      <w:hyperlink r:id="rId7" w:history="1">
        <w:r w:rsidR="00A345E6" w:rsidRPr="00CA446E">
          <w:rPr>
            <w:rStyle w:val="Hipervnculo"/>
            <w:b/>
            <w:bCs/>
          </w:rPr>
          <w:t>ranking de transparencia,</w:t>
        </w:r>
      </w:hyperlink>
      <w:r w:rsidR="00A345E6">
        <w:rPr>
          <w:b/>
          <w:bCs/>
        </w:rPr>
        <w:t xml:space="preserve"> </w:t>
      </w:r>
      <w:r w:rsidR="00A345E6">
        <w:t>seguidas por</w:t>
      </w:r>
      <w:r w:rsidR="00006E39" w:rsidRPr="00BA6D74">
        <w:t xml:space="preserve"> </w:t>
      </w:r>
      <w:r w:rsidR="00006E39" w:rsidRPr="00C07D39">
        <w:rPr>
          <w:b/>
          <w:bCs/>
        </w:rPr>
        <w:t xml:space="preserve">Inditex, </w:t>
      </w:r>
      <w:r w:rsidR="00006E39">
        <w:t>en segundo</w:t>
      </w:r>
      <w:r w:rsidR="00A345E6">
        <w:t xml:space="preserve"> lugar</w:t>
      </w:r>
      <w:r w:rsidR="00006E39">
        <w:t>,</w:t>
      </w:r>
      <w:r w:rsidR="00A345E6">
        <w:t xml:space="preserve"> y</w:t>
      </w:r>
      <w:r w:rsidR="00006E39">
        <w:t xml:space="preserve"> con </w:t>
      </w:r>
      <w:r w:rsidR="00006E39" w:rsidRPr="00C07D39">
        <w:rPr>
          <w:b/>
          <w:bCs/>
        </w:rPr>
        <w:t>Enagás, Ferrovial y Siemens Gamesa</w:t>
      </w:r>
      <w:r w:rsidR="00006E39">
        <w:t xml:space="preserve"> completando el podio. </w:t>
      </w:r>
    </w:p>
    <w:p w14:paraId="021B34C5" w14:textId="7BD34F8D" w:rsidR="00BA6D74" w:rsidRDefault="00BA6D74" w:rsidP="00BA6D74">
      <w:pPr>
        <w:jc w:val="both"/>
      </w:pPr>
      <w:r>
        <w:t>Así lo desprende la segunda edición del informe</w:t>
      </w:r>
      <w:r w:rsidRPr="00BA6D74">
        <w:t xml:space="preserve"> </w:t>
      </w:r>
      <w:hyperlink r:id="rId8" w:history="1">
        <w:r w:rsidRPr="00C45074">
          <w:rPr>
            <w:rStyle w:val="Hipervnculo"/>
            <w:i/>
            <w:iCs/>
          </w:rPr>
          <w:t>Transparencia y buen gobierno sobre prácticas de ética y cumplimiento de las empresas del IBEX 35</w:t>
        </w:r>
      </w:hyperlink>
      <w:r>
        <w:t>, elaborado por</w:t>
      </w:r>
      <w:r w:rsidR="0015399F">
        <w:t xml:space="preserve"> la Fundación Haz (antes Compromiso y Transparencia)</w:t>
      </w:r>
      <w:r>
        <w:t xml:space="preserve"> con el apoyo de la Asociación Cumplen</w:t>
      </w:r>
      <w:r w:rsidR="0015399F">
        <w:t>.</w:t>
      </w:r>
    </w:p>
    <w:p w14:paraId="465018BA" w14:textId="31FFB637" w:rsidR="00693713" w:rsidRDefault="00693713" w:rsidP="00BA6D74">
      <w:pPr>
        <w:jc w:val="both"/>
      </w:pPr>
      <w:r>
        <w:t>En tan solo un año</w:t>
      </w:r>
      <w:r w:rsidR="008F24E8">
        <w:t xml:space="preserve"> el</w:t>
      </w:r>
      <w:r>
        <w:t xml:space="preserve"> porcentaje de empresas </w:t>
      </w:r>
      <w:r w:rsidRPr="00535CC6">
        <w:rPr>
          <w:b/>
          <w:bCs/>
        </w:rPr>
        <w:t xml:space="preserve">transparentes del IBEX 35 </w:t>
      </w:r>
      <w:r w:rsidR="00A345E6" w:rsidRPr="00535CC6">
        <w:rPr>
          <w:b/>
          <w:bCs/>
        </w:rPr>
        <w:t>se ha triplicado,</w:t>
      </w:r>
      <w:r w:rsidR="00A345E6">
        <w:t xml:space="preserve"> pasando</w:t>
      </w:r>
      <w:r>
        <w:t xml:space="preserve"> del 8% al 29%</w:t>
      </w:r>
      <w:r w:rsidR="00A345E6">
        <w:t xml:space="preserve"> (de tres a diez compañías)</w:t>
      </w:r>
      <w:r>
        <w:t>. El porcentaje mayor de empresas obtiene la calificación de transl</w:t>
      </w:r>
      <w:r w:rsidR="00006E39">
        <w:t>ú</w:t>
      </w:r>
      <w:r>
        <w:t>cida</w:t>
      </w:r>
      <w:r w:rsidR="00006E39">
        <w:t>s</w:t>
      </w:r>
      <w:r>
        <w:t xml:space="preserve"> (57%), con un 14%, finalmente, calificadas como opacas.  </w:t>
      </w:r>
    </w:p>
    <w:p w14:paraId="32CB9316" w14:textId="2FEB58CB" w:rsidR="00D43B05" w:rsidRDefault="00D43B05" w:rsidP="00764CBE">
      <w:pPr>
        <w:jc w:val="center"/>
      </w:pPr>
      <w:r>
        <w:rPr>
          <w:noProof/>
        </w:rPr>
        <w:drawing>
          <wp:inline distT="0" distB="0" distL="0" distR="0" wp14:anchorId="72BA34E4" wp14:editId="31E9011F">
            <wp:extent cx="3948865" cy="1983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242" cy="19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6A2A" w14:textId="27CA148F" w:rsidR="002823A6" w:rsidRDefault="0051063C">
      <w:pPr>
        <w:rPr>
          <w:b/>
          <w:bCs/>
        </w:rPr>
      </w:pPr>
      <w:r>
        <w:rPr>
          <w:b/>
          <w:bCs/>
        </w:rPr>
        <w:lastRenderedPageBreak/>
        <w:t>El cumplimiento, por áreas</w:t>
      </w:r>
    </w:p>
    <w:p w14:paraId="6291AFDD" w14:textId="4BC7D997" w:rsidR="007708B5" w:rsidRDefault="007708B5" w:rsidP="00341E42">
      <w:pPr>
        <w:jc w:val="both"/>
      </w:pPr>
      <w:r>
        <w:t xml:space="preserve">El informe, disponible en </w:t>
      </w:r>
      <w:hyperlink r:id="rId10" w:history="1">
        <w:r w:rsidRPr="009E5BEA">
          <w:rPr>
            <w:rStyle w:val="Hipervnculo"/>
          </w:rPr>
          <w:t>www.hazfundacion.org</w:t>
        </w:r>
      </w:hyperlink>
      <w:r>
        <w:t xml:space="preserve">, </w:t>
      </w:r>
      <w:r w:rsidRPr="009441E8">
        <w:t xml:space="preserve">examina la transparencia de acuerdo con la información voluntaria publicada </w:t>
      </w:r>
      <w:r w:rsidR="00C45074">
        <w:t xml:space="preserve">en la web </w:t>
      </w:r>
      <w:r w:rsidRPr="009441E8">
        <w:t xml:space="preserve">sobre </w:t>
      </w:r>
      <w:r w:rsidRPr="00535CC6">
        <w:rPr>
          <w:b/>
          <w:bCs/>
        </w:rPr>
        <w:t>dieciséis indicadores</w:t>
      </w:r>
      <w:r w:rsidRPr="009441E8">
        <w:t xml:space="preserve"> agrupados en cinco área</w:t>
      </w:r>
      <w:r w:rsidR="00281285">
        <w:t xml:space="preserve">s: </w:t>
      </w:r>
      <w:r w:rsidR="00281285" w:rsidRPr="007357FC">
        <w:rPr>
          <w:i/>
          <w:iCs/>
        </w:rPr>
        <w:t xml:space="preserve">Políticas y procesos, </w:t>
      </w:r>
      <w:proofErr w:type="gramStart"/>
      <w:r w:rsidR="00281285" w:rsidRPr="007357FC">
        <w:rPr>
          <w:i/>
          <w:iCs/>
        </w:rPr>
        <w:t>Responsable</w:t>
      </w:r>
      <w:proofErr w:type="gramEnd"/>
      <w:r w:rsidR="00281285" w:rsidRPr="007357FC">
        <w:rPr>
          <w:i/>
          <w:iCs/>
        </w:rPr>
        <w:t xml:space="preserve"> de cumplimiento, Formación y concienciación, Canal ético </w:t>
      </w:r>
      <w:r w:rsidR="00281285" w:rsidRPr="00006E39">
        <w:t xml:space="preserve">y </w:t>
      </w:r>
      <w:r w:rsidR="00281285" w:rsidRPr="007357FC">
        <w:rPr>
          <w:i/>
          <w:iCs/>
        </w:rPr>
        <w:t>Gobierno</w:t>
      </w:r>
      <w:r w:rsidR="00006E39">
        <w:rPr>
          <w:i/>
          <w:iCs/>
        </w:rPr>
        <w:t>.</w:t>
      </w:r>
    </w:p>
    <w:p w14:paraId="5CB48434" w14:textId="5BA5FA9E" w:rsidR="00281285" w:rsidRDefault="00281285" w:rsidP="00281285">
      <w:pPr>
        <w:jc w:val="both"/>
      </w:pPr>
      <w:r>
        <w:t xml:space="preserve">El área de </w:t>
      </w:r>
      <w:r w:rsidRPr="00535CC6">
        <w:rPr>
          <w:b/>
          <w:bCs/>
          <w:i/>
          <w:iCs/>
        </w:rPr>
        <w:t>Políticas y procesos</w:t>
      </w:r>
      <w:r>
        <w:t xml:space="preserve"> es una de las que presentan mayores grados de transparencia global, un 71%: las 35 empresas cuentan con un código ético o de conducta; un 97% publica los riesgos de cumplimiento, y el 94% dispone de diferentes políticas anticorrupción, prevención de delitos penales y conflictos de intereses. Aunque todavía son minoría (un </w:t>
      </w:r>
      <w:r w:rsidR="00FA3BF8">
        <w:t>29</w:t>
      </w:r>
      <w:r>
        <w:t xml:space="preserve">%) las compañías que han aprobado una política general de cumplimiento o las que informan sobre </w:t>
      </w:r>
      <w:r w:rsidRPr="00051E36">
        <w:t>la verificación externa</w:t>
      </w:r>
      <w:r>
        <w:t xml:space="preserve"> (32%).</w:t>
      </w:r>
    </w:p>
    <w:p w14:paraId="03D2C6B3" w14:textId="1423E891" w:rsidR="00281285" w:rsidRDefault="00281285" w:rsidP="00341E42">
      <w:pPr>
        <w:jc w:val="both"/>
      </w:pPr>
      <w:r>
        <w:t xml:space="preserve">Respecto a la segunda área mencionada, cerca del 90% de las empresas informan de la unidad </w:t>
      </w:r>
      <w:r w:rsidRPr="00535CC6">
        <w:rPr>
          <w:b/>
          <w:bCs/>
          <w:i/>
          <w:iCs/>
        </w:rPr>
        <w:t>Responsable de cumplimiento</w:t>
      </w:r>
      <w:r w:rsidRPr="00535CC6">
        <w:rPr>
          <w:b/>
          <w:bCs/>
        </w:rPr>
        <w:t>.</w:t>
      </w:r>
      <w:r>
        <w:t xml:space="preserve"> El porcentaje de transparencia disminuye al informar de las competencias y dependencia jerárquica (51% de cumplimiento) o de las prácticas que analizan la participación del órgano de gobierno en su nombramiento, evaluación y cese (20%), así como la publicación de un informe anual en el que se rinda cuenta de la actividad, responsabilidades y objetivos del área de cumplimiento.</w:t>
      </w:r>
    </w:p>
    <w:p w14:paraId="2EACB28D" w14:textId="27395B29" w:rsidR="00281285" w:rsidRDefault="00281285" w:rsidP="00341E42">
      <w:pPr>
        <w:jc w:val="both"/>
      </w:pPr>
      <w:r>
        <w:t xml:space="preserve">El área de </w:t>
      </w:r>
      <w:r w:rsidRPr="00535CC6">
        <w:rPr>
          <w:b/>
          <w:bCs/>
          <w:i/>
          <w:iCs/>
        </w:rPr>
        <w:t>Formación y concienciación</w:t>
      </w:r>
      <w:r>
        <w:t xml:space="preserve"> sigue arrojando diferencias significativas entre la información relativa a las actividades de formación, que presenta un alto índice de cumplimiento, con tan solo un 9% de la muestra que no informa, y el área de </w:t>
      </w:r>
      <w:r w:rsidRPr="00617EF3">
        <w:rPr>
          <w:i/>
          <w:iCs/>
        </w:rPr>
        <w:t>Concienciación</w:t>
      </w:r>
      <w:r>
        <w:t xml:space="preserve"> que </w:t>
      </w:r>
      <w:r w:rsidR="00C45074">
        <w:t>refleja</w:t>
      </w:r>
      <w:r>
        <w:t xml:space="preserve"> resultados mucho más bajos, con un 77% de incumplimiento. </w:t>
      </w:r>
    </w:p>
    <w:p w14:paraId="091F4B0F" w14:textId="63301662" w:rsidR="00FC5F7B" w:rsidRDefault="00FC5F7B" w:rsidP="00341E42">
      <w:pPr>
        <w:jc w:val="both"/>
      </w:pPr>
      <w:r>
        <w:t xml:space="preserve">El área del </w:t>
      </w:r>
      <w:r w:rsidRPr="00535CC6">
        <w:rPr>
          <w:b/>
          <w:bCs/>
          <w:i/>
          <w:iCs/>
        </w:rPr>
        <w:t>Canal ético</w:t>
      </w:r>
      <w:r>
        <w:t xml:space="preserve"> ha experimentado un </w:t>
      </w:r>
      <w:r w:rsidR="00C45074">
        <w:t>importante</w:t>
      </w:r>
      <w:r>
        <w:t xml:space="preserve"> aumento en los índices de transparencia, </w:t>
      </w:r>
      <w:r w:rsidR="00FA3BF8">
        <w:t xml:space="preserve">con un 84% de cumplimiento de media, </w:t>
      </w:r>
      <w:r>
        <w:t xml:space="preserve">muy probablemente debido a la aprobación del proyecto de </w:t>
      </w:r>
      <w:r w:rsidRPr="00FC5F7B">
        <w:rPr>
          <w:i/>
          <w:iCs/>
        </w:rPr>
        <w:t>Ley para proteger a las personas que informen sobre infracciones del ordenamiento</w:t>
      </w:r>
      <w:r w:rsidR="00C45074">
        <w:rPr>
          <w:i/>
          <w:iCs/>
        </w:rPr>
        <w:t>,</w:t>
      </w:r>
      <w:r>
        <w:rPr>
          <w:i/>
          <w:iCs/>
        </w:rPr>
        <w:t xml:space="preserve"> </w:t>
      </w:r>
      <w:r>
        <w:t>que traspone la Directiva</w:t>
      </w:r>
      <w:r w:rsidR="00DF2B60">
        <w:t xml:space="preserve"> europea relativa</w:t>
      </w:r>
      <w:r>
        <w:t xml:space="preserve"> a la protección de las personas que informen sobre infracciones, conocida como Directiva Whistleblowing.</w:t>
      </w:r>
    </w:p>
    <w:p w14:paraId="18CD9E67" w14:textId="2E5D0BD9" w:rsidR="00FC5F7B" w:rsidRDefault="00FC5F7B" w:rsidP="00341E42">
      <w:pPr>
        <w:jc w:val="both"/>
      </w:pPr>
      <w:r>
        <w:t>“No obstante -señala Javier Martín Cavanna</w:t>
      </w:r>
      <w:r w:rsidR="00006E39">
        <w:t>, director de la Fundación Haz y coautor del informe</w:t>
      </w:r>
      <w:r>
        <w:t>-, aunque el proyecto de Ley pone el acento en la protección de los denunciantes, hemos cambiado el nombre del indicador de</w:t>
      </w:r>
      <w:r w:rsidR="0022165F" w:rsidRPr="0022165F">
        <w:t xml:space="preserve"> </w:t>
      </w:r>
      <w:r w:rsidR="004170EF" w:rsidRPr="00617EF3">
        <w:rPr>
          <w:i/>
          <w:iCs/>
        </w:rPr>
        <w:t>C</w:t>
      </w:r>
      <w:r w:rsidR="0022165F" w:rsidRPr="00617EF3">
        <w:rPr>
          <w:i/>
          <w:iCs/>
        </w:rPr>
        <w:t xml:space="preserve">anal de </w:t>
      </w:r>
      <w:r w:rsidR="00DF2B60" w:rsidRPr="00617EF3">
        <w:rPr>
          <w:i/>
          <w:iCs/>
        </w:rPr>
        <w:t>denuncias</w:t>
      </w:r>
      <w:r w:rsidR="00DF2B60">
        <w:t xml:space="preserve"> por</w:t>
      </w:r>
      <w:r>
        <w:t xml:space="preserve"> el de </w:t>
      </w:r>
      <w:r w:rsidRPr="00FC5F7B">
        <w:rPr>
          <w:i/>
          <w:iCs/>
        </w:rPr>
        <w:t>Canal</w:t>
      </w:r>
      <w:r w:rsidR="0022165F" w:rsidRPr="00FC5F7B">
        <w:rPr>
          <w:i/>
          <w:iCs/>
        </w:rPr>
        <w:t xml:space="preserve"> ético</w:t>
      </w:r>
      <w:r>
        <w:t xml:space="preserve">. </w:t>
      </w:r>
      <w:r w:rsidR="0022165F">
        <w:t xml:space="preserve">Con este cambio queremos subrayar </w:t>
      </w:r>
      <w:r w:rsidR="0022165F">
        <w:lastRenderedPageBreak/>
        <w:t xml:space="preserve">que, sin descuidar la función de encauzar y gestionar las posibles denuncias ante comportamientos indebidos, la función del canal debe </w:t>
      </w:r>
      <w:r>
        <w:t>centrarse en</w:t>
      </w:r>
      <w:r w:rsidR="0022165F">
        <w:t xml:space="preserve"> la </w:t>
      </w:r>
      <w:r w:rsidR="0022165F" w:rsidRPr="00535CC6">
        <w:rPr>
          <w:b/>
          <w:bCs/>
        </w:rPr>
        <w:t>resolución de dudas y consultas</w:t>
      </w:r>
      <w:r w:rsidR="0022165F">
        <w:t xml:space="preserve"> de los empleados”</w:t>
      </w:r>
      <w:r w:rsidR="00764CBE">
        <w:t>.</w:t>
      </w:r>
    </w:p>
    <w:p w14:paraId="305E6041" w14:textId="71FF2471" w:rsidR="0022165F" w:rsidRDefault="00FC5F7B" w:rsidP="00341E42">
      <w:pPr>
        <w:jc w:val="both"/>
      </w:pPr>
      <w:r>
        <w:t>Se trata de un cambio que</w:t>
      </w:r>
      <w:r w:rsidR="0022165F">
        <w:t xml:space="preserve"> afecta también a</w:t>
      </w:r>
      <w:r w:rsidR="00DF2B60">
        <w:t>l</w:t>
      </w:r>
      <w:r>
        <w:t xml:space="preserve"> </w:t>
      </w:r>
      <w:r w:rsidRPr="00535CC6">
        <w:rPr>
          <w:b/>
          <w:bCs/>
        </w:rPr>
        <w:t>nuevo</w:t>
      </w:r>
      <w:r w:rsidR="0022165F" w:rsidRPr="00535CC6">
        <w:rPr>
          <w:b/>
          <w:bCs/>
        </w:rPr>
        <w:t xml:space="preserve"> nombre del informe</w:t>
      </w:r>
      <w:r>
        <w:t xml:space="preserve"> que incorpora </w:t>
      </w:r>
      <w:r w:rsidR="00DF2B60">
        <w:t>las prácticas éticas junto a las de cumplimiento</w:t>
      </w:r>
      <w:r w:rsidR="0022165F">
        <w:t>: “El nuevo título quiere subrayar este punto</w:t>
      </w:r>
      <w:r w:rsidR="0069684D">
        <w:t>,</w:t>
      </w:r>
      <w:r w:rsidR="0022165F">
        <w:t xml:space="preserve"> situando el desarrollo de una cultura ética como principal pilar para sustentar los modelos de cumplimiento empresarial”. </w:t>
      </w:r>
    </w:p>
    <w:p w14:paraId="4F47C6C4" w14:textId="58A426FE" w:rsidR="007708B5" w:rsidRPr="0015399F" w:rsidRDefault="0022165F" w:rsidP="00341E42">
      <w:pPr>
        <w:jc w:val="both"/>
      </w:pPr>
      <w:r>
        <w:t xml:space="preserve">Finalmente, el área de </w:t>
      </w:r>
      <w:r w:rsidRPr="0022165F">
        <w:rPr>
          <w:i/>
          <w:iCs/>
        </w:rPr>
        <w:t>Gobierno</w:t>
      </w:r>
      <w:r>
        <w:t>, que examina la rendición de cuentas del órgano de gobierno a través de los informes de sus comisiones, ha mejorado con respecto al pasado año</w:t>
      </w:r>
      <w:r w:rsidR="0069684D">
        <w:t>:</w:t>
      </w:r>
      <w:r>
        <w:t xml:space="preserve"> el 9</w:t>
      </w:r>
      <w:r w:rsidR="00FA3BF8">
        <w:t>4</w:t>
      </w:r>
      <w:r>
        <w:t xml:space="preserve">% proporciona información sobre las actividades de supervisión del área de </w:t>
      </w:r>
      <w:r w:rsidRPr="0069684D">
        <w:rPr>
          <w:i/>
          <w:iCs/>
        </w:rPr>
        <w:t>compliance</w:t>
      </w:r>
      <w:r>
        <w:t>.</w:t>
      </w:r>
    </w:p>
    <w:p w14:paraId="3526D7B0" w14:textId="26B28B23" w:rsidR="002823A6" w:rsidRDefault="0051063C" w:rsidP="00341E42">
      <w:pPr>
        <w:jc w:val="both"/>
      </w:pPr>
      <w:r>
        <w:t xml:space="preserve">“Los </w:t>
      </w:r>
      <w:r>
        <w:rPr>
          <w:b/>
          <w:bCs/>
        </w:rPr>
        <w:t>desafíos</w:t>
      </w:r>
      <w:r>
        <w:t xml:space="preserve"> más importantes desde el punto de vista de la transparencia y la calidad de la información </w:t>
      </w:r>
      <w:r w:rsidR="0069684D">
        <w:t>son cuatro</w:t>
      </w:r>
      <w:r>
        <w:t xml:space="preserve">: mejorar la información cualitativa sobre el responsable de cumplimiento; </w:t>
      </w:r>
      <w:r w:rsidR="0069684D">
        <w:t>informar sobre</w:t>
      </w:r>
      <w:r>
        <w:t xml:space="preserve"> los aprendizajes y el funcionamiento del canal</w:t>
      </w:r>
      <w:r w:rsidR="0022165F">
        <w:t>;</w:t>
      </w:r>
      <w:r>
        <w:t xml:space="preserve"> </w:t>
      </w:r>
      <w:r w:rsidR="0069684D">
        <w:t>dar a conocer</w:t>
      </w:r>
      <w:r w:rsidR="0022165F">
        <w:t xml:space="preserve"> las acciones para concienciar a los grupos de interés sobre integridad, ética y cumplimiento</w:t>
      </w:r>
      <w:r w:rsidR="00053929">
        <w:t xml:space="preserve">, </w:t>
      </w:r>
      <w:r w:rsidR="0022165F">
        <w:t>y</w:t>
      </w:r>
      <w:r w:rsidR="00053929">
        <w:t>,</w:t>
      </w:r>
      <w:r w:rsidR="0022165F">
        <w:t xml:space="preserve"> por último, mejorar la calidad y utilidad de los informes de las comisiones del consejo</w:t>
      </w:r>
      <w:r>
        <w:t>”</w:t>
      </w:r>
      <w:r w:rsidR="0069684D">
        <w:t>, concluye Martín Cavanna.</w:t>
      </w:r>
    </w:p>
    <w:p w14:paraId="2E2D451E" w14:textId="77777777" w:rsidR="002823A6" w:rsidRDefault="002823A6">
      <w:pPr>
        <w:rPr>
          <w:sz w:val="14"/>
          <w:szCs w:val="14"/>
        </w:rPr>
      </w:pPr>
    </w:p>
    <w:p w14:paraId="19C162FF" w14:textId="77777777" w:rsidR="002823A6" w:rsidRDefault="0051063C">
      <w:pPr>
        <w:rPr>
          <w:b/>
          <w:bCs/>
          <w:sz w:val="14"/>
          <w:szCs w:val="14"/>
          <w:u w:val="single"/>
        </w:rPr>
      </w:pPr>
      <w:r>
        <w:rPr>
          <w:b/>
          <w:bCs/>
          <w:sz w:val="14"/>
          <w:szCs w:val="14"/>
          <w:u w:val="single"/>
        </w:rPr>
        <w:t>Acerca de Fundación Haz</w:t>
      </w:r>
    </w:p>
    <w:p w14:paraId="2AFF94F9" w14:textId="77777777" w:rsidR="002823A6" w:rsidRDefault="0051063C">
      <w:pPr>
        <w:rPr>
          <w:sz w:val="14"/>
          <w:szCs w:val="14"/>
        </w:rPr>
      </w:pPr>
      <w:r>
        <w:rPr>
          <w:sz w:val="14"/>
          <w:szCs w:val="14"/>
        </w:rPr>
        <w:t xml:space="preserve">La Fundación Haz (antes Compromiso y Transparencia) se constituyó en el año 2007 por un grupo de profesionales procedentes del mundo de la empresa, de la academia y del sector no lucrativo con la finalidad de fortalecer la confianza de la sociedad en las instituciones y empresas promoviendo la transparencia, el buen gobierno y el compromiso social. Página web </w:t>
      </w:r>
      <w:hyperlink r:id="rId11">
        <w:r>
          <w:rPr>
            <w:rStyle w:val="EnlacedeInternet"/>
            <w:sz w:val="14"/>
            <w:szCs w:val="14"/>
          </w:rPr>
          <w:t>www.hazfundacion.org</w:t>
        </w:r>
      </w:hyperlink>
      <w:r>
        <w:rPr>
          <w:sz w:val="14"/>
          <w:szCs w:val="14"/>
        </w:rPr>
        <w:t xml:space="preserve">.  </w:t>
      </w:r>
    </w:p>
    <w:p w14:paraId="2A02E11C" w14:textId="77777777" w:rsidR="002823A6" w:rsidRDefault="0051063C">
      <w:pPr>
        <w:rPr>
          <w:sz w:val="14"/>
          <w:szCs w:val="14"/>
        </w:rPr>
      </w:pPr>
      <w:r>
        <w:rPr>
          <w:sz w:val="14"/>
          <w:szCs w:val="14"/>
        </w:rPr>
        <w:t>Más información</w:t>
      </w:r>
    </w:p>
    <w:p w14:paraId="3AE40E4F" w14:textId="11D917FB" w:rsidR="0023614F" w:rsidRDefault="0051063C">
      <w:pPr>
        <w:rPr>
          <w:sz w:val="14"/>
          <w:szCs w:val="14"/>
        </w:rPr>
      </w:pPr>
      <w:r>
        <w:rPr>
          <w:sz w:val="14"/>
          <w:szCs w:val="14"/>
        </w:rPr>
        <w:t xml:space="preserve">Esther Barrio / Teléfono: 650 38 23 35 / </w:t>
      </w:r>
      <w:hyperlink r:id="rId12">
        <w:r>
          <w:rPr>
            <w:rStyle w:val="EnlacedeInternet"/>
            <w:sz w:val="14"/>
            <w:szCs w:val="14"/>
          </w:rPr>
          <w:t>ebarrio@hazfundacion.org</w:t>
        </w:r>
      </w:hyperlink>
      <w:r>
        <w:rPr>
          <w:sz w:val="14"/>
          <w:szCs w:val="14"/>
        </w:rPr>
        <w:t xml:space="preserve"> </w:t>
      </w:r>
    </w:p>
    <w:sectPr w:rsidR="0023614F">
      <w:headerReference w:type="default" r:id="rId13"/>
      <w:footerReference w:type="default" r:id="rId14"/>
      <w:pgSz w:w="11906" w:h="16838"/>
      <w:pgMar w:top="2552" w:right="1701" w:bottom="2268" w:left="226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96E2" w14:textId="77777777" w:rsidR="007C5537" w:rsidRDefault="007C5537">
      <w:pPr>
        <w:spacing w:after="0" w:line="240" w:lineRule="auto"/>
      </w:pPr>
      <w:r>
        <w:separator/>
      </w:r>
    </w:p>
  </w:endnote>
  <w:endnote w:type="continuationSeparator" w:id="0">
    <w:p w14:paraId="2F43DBA5" w14:textId="77777777" w:rsidR="007C5537" w:rsidRDefault="007C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F7C" w14:textId="77777777" w:rsidR="002823A6" w:rsidRDefault="0051063C">
    <w:pPr>
      <w:pStyle w:val="Piedepgina"/>
      <w:ind w:left="-284"/>
    </w:pPr>
    <w:r>
      <w:rPr>
        <w:noProof/>
      </w:rPr>
      <w:drawing>
        <wp:inline distT="0" distB="0" distL="0" distR="0" wp14:anchorId="7F79F6FC" wp14:editId="05051CE2">
          <wp:extent cx="5036185" cy="120650"/>
          <wp:effectExtent l="0" t="0" r="0" b="0"/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6185" cy="12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AD19" w14:textId="77777777" w:rsidR="007C5537" w:rsidRDefault="007C5537">
      <w:pPr>
        <w:spacing w:after="0" w:line="240" w:lineRule="auto"/>
      </w:pPr>
      <w:r>
        <w:separator/>
      </w:r>
    </w:p>
  </w:footnote>
  <w:footnote w:type="continuationSeparator" w:id="0">
    <w:p w14:paraId="123E7CB9" w14:textId="77777777" w:rsidR="007C5537" w:rsidRDefault="007C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DACC" w14:textId="77777777" w:rsidR="002823A6" w:rsidRDefault="0051063C">
    <w:pPr>
      <w:pStyle w:val="Encabezado"/>
      <w:ind w:left="-1418"/>
    </w:pPr>
    <w:r>
      <w:rPr>
        <w:noProof/>
      </w:rPr>
      <w:drawing>
        <wp:inline distT="0" distB="0" distL="0" distR="0" wp14:anchorId="6EC9AE56" wp14:editId="4A321C71">
          <wp:extent cx="1620520" cy="60833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786A"/>
    <w:multiLevelType w:val="multilevel"/>
    <w:tmpl w:val="A28C69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A0154"/>
    <w:multiLevelType w:val="multilevel"/>
    <w:tmpl w:val="25769D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8518622">
    <w:abstractNumId w:val="1"/>
  </w:num>
  <w:num w:numId="2" w16cid:durableId="25535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A6"/>
    <w:rsid w:val="00006E39"/>
    <w:rsid w:val="00030319"/>
    <w:rsid w:val="00051E36"/>
    <w:rsid w:val="00053929"/>
    <w:rsid w:val="000B5CBA"/>
    <w:rsid w:val="0015399F"/>
    <w:rsid w:val="00191B01"/>
    <w:rsid w:val="001A00A1"/>
    <w:rsid w:val="001A6D33"/>
    <w:rsid w:val="002005D2"/>
    <w:rsid w:val="00217D1B"/>
    <w:rsid w:val="0022165F"/>
    <w:rsid w:val="00224837"/>
    <w:rsid w:val="0023614F"/>
    <w:rsid w:val="00252E17"/>
    <w:rsid w:val="00281285"/>
    <w:rsid w:val="002823A6"/>
    <w:rsid w:val="002D6939"/>
    <w:rsid w:val="00341E42"/>
    <w:rsid w:val="00390C0C"/>
    <w:rsid w:val="003A77D5"/>
    <w:rsid w:val="004170EF"/>
    <w:rsid w:val="004A0D13"/>
    <w:rsid w:val="004A4315"/>
    <w:rsid w:val="0051063C"/>
    <w:rsid w:val="00535CC6"/>
    <w:rsid w:val="00600559"/>
    <w:rsid w:val="00617EF3"/>
    <w:rsid w:val="006476B3"/>
    <w:rsid w:val="0066079E"/>
    <w:rsid w:val="00693713"/>
    <w:rsid w:val="00693A26"/>
    <w:rsid w:val="00694EF9"/>
    <w:rsid w:val="0069684D"/>
    <w:rsid w:val="007357FC"/>
    <w:rsid w:val="00764CBE"/>
    <w:rsid w:val="007708B5"/>
    <w:rsid w:val="007C5537"/>
    <w:rsid w:val="00847B1E"/>
    <w:rsid w:val="008B1C4F"/>
    <w:rsid w:val="008C2962"/>
    <w:rsid w:val="008F24E8"/>
    <w:rsid w:val="00905E84"/>
    <w:rsid w:val="009441E8"/>
    <w:rsid w:val="00A345E6"/>
    <w:rsid w:val="00A65AFC"/>
    <w:rsid w:val="00A87B95"/>
    <w:rsid w:val="00B318A4"/>
    <w:rsid w:val="00BA6D74"/>
    <w:rsid w:val="00C07D39"/>
    <w:rsid w:val="00C45074"/>
    <w:rsid w:val="00CA446E"/>
    <w:rsid w:val="00CA4793"/>
    <w:rsid w:val="00D43B05"/>
    <w:rsid w:val="00DB1849"/>
    <w:rsid w:val="00DF2B60"/>
    <w:rsid w:val="00E53190"/>
    <w:rsid w:val="00E616D5"/>
    <w:rsid w:val="00E80D6A"/>
    <w:rsid w:val="00F078DC"/>
    <w:rsid w:val="00F21A34"/>
    <w:rsid w:val="00F379CA"/>
    <w:rsid w:val="00FA3BF8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A978"/>
  <w15:docId w15:val="{DE3727F1-A86B-4E58-82C6-33A365E5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0A"/>
    <w:pPr>
      <w:spacing w:after="160" w:line="259" w:lineRule="auto"/>
    </w:pPr>
    <w:rPr>
      <w:rFonts w:ascii="Open Sans" w:hAnsi="Open Sans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F2434"/>
    <w:rPr>
      <w:rFonts w:ascii="Open Sans" w:hAnsi="Open San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F2434"/>
    <w:rPr>
      <w:rFonts w:ascii="Open Sans" w:hAnsi="Open Sans"/>
    </w:rPr>
  </w:style>
  <w:style w:type="character" w:customStyle="1" w:styleId="EnlacedeInternet">
    <w:name w:val="Enlace de Internet"/>
    <w:basedOn w:val="Fuentedeprrafopredeter"/>
    <w:uiPriority w:val="99"/>
    <w:unhideWhenUsed/>
    <w:rsid w:val="00781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78173E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onegrita">
    <w:name w:val="Texto negrita"/>
    <w:basedOn w:val="Normal"/>
    <w:qFormat/>
    <w:rsid w:val="000215E3"/>
    <w:rPr>
      <w:b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F2434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F2434"/>
    <w:pPr>
      <w:tabs>
        <w:tab w:val="center" w:pos="4252"/>
        <w:tab w:val="right" w:pos="8504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7266E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5399F"/>
    <w:rPr>
      <w:b/>
      <w:bCs/>
    </w:rPr>
  </w:style>
  <w:style w:type="character" w:styleId="nfasis">
    <w:name w:val="Emphasis"/>
    <w:basedOn w:val="Fuentedeprrafopredeter"/>
    <w:uiPriority w:val="20"/>
    <w:qFormat/>
    <w:rsid w:val="0015399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399F"/>
    <w:rPr>
      <w:color w:val="0000FF"/>
      <w:u w:val="single"/>
    </w:rPr>
  </w:style>
  <w:style w:type="paragraph" w:styleId="Revisin">
    <w:name w:val="Revision"/>
    <w:hidden/>
    <w:uiPriority w:val="99"/>
    <w:semiHidden/>
    <w:rsid w:val="004170EF"/>
    <w:pPr>
      <w:suppressAutoHyphens w:val="0"/>
    </w:pPr>
    <w:rPr>
      <w:rFonts w:ascii="Open Sans" w:hAnsi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zfundacion.org/informes/transparencia-gobierno-practicas-etica-cumplimiento-empresas-ibex35-20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azfundacion.org/rankings-de-transparencia/tema/cumplimiento" TargetMode="External"/><Relationship Id="rId12" Type="http://schemas.openxmlformats.org/officeDocument/2006/relationships/hyperlink" Target="mailto:ebarrio@hazfundacio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zfundacion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azfundaci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dc:description/>
  <cp:lastModifiedBy>Esther Barrio Medina</cp:lastModifiedBy>
  <cp:revision>9</cp:revision>
  <cp:lastPrinted>2020-10-19T11:39:00Z</cp:lastPrinted>
  <dcterms:created xsi:type="dcterms:W3CDTF">2022-11-30T16:01:00Z</dcterms:created>
  <dcterms:modified xsi:type="dcterms:W3CDTF">2022-12-01T11:59:00Z</dcterms:modified>
  <dc:language>es-ES</dc:language>
</cp:coreProperties>
</file>